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C658D" w14:textId="386AADD6" w:rsidR="004544E9" w:rsidRDefault="004544E9" w:rsidP="00452730">
      <w:pPr>
        <w:pStyle w:val="Heading1"/>
        <w:numPr>
          <w:ilvl w:val="0"/>
          <w:numId w:val="174"/>
        </w:numPr>
      </w:pPr>
      <w:bookmarkStart w:id="0" w:name="_Toc482365961"/>
      <w:bookmarkStart w:id="1" w:name="_GoBack"/>
      <w:bookmarkEnd w:id="1"/>
      <w:r>
        <w:t>Reference System Plan Production Cost Modeling</w:t>
      </w:r>
    </w:p>
    <w:p w14:paraId="7930B487" w14:textId="713E6610" w:rsidR="004544E9" w:rsidRDefault="004544E9" w:rsidP="004544E9">
      <w:r>
        <w:t>This section describes production cost modeling that CPUC staff will conduct as a higher fidelity assessment of the Reference System Plan. The analytical process described here also serves as guidelines for other parties to develop their own production cost modeling based assessment of the Reference System Plan. To the extent other parties wish to compare their assessments with CPUC staff’s, they should adhere as closely as possible to the assumptions, methods, and conventions used by CPUC staff.</w:t>
      </w:r>
    </w:p>
    <w:p w14:paraId="5C8A84DE" w14:textId="083CB33B" w:rsidR="004544E9" w:rsidRDefault="004544E9" w:rsidP="004544E9">
      <w:r>
        <w:t>CPUC staff will use the SERVM</w:t>
      </w:r>
      <w:r>
        <w:rPr>
          <w:rStyle w:val="FootnoteReference"/>
        </w:rPr>
        <w:footnoteReference w:id="2"/>
      </w:r>
      <w:r>
        <w:t xml:space="preserve"> production cost model to evaluate operational performance and verify satisfaction of the Planning Reserve Margin</w:t>
      </w:r>
      <w:r>
        <w:rPr>
          <w:rStyle w:val="FootnoteReference"/>
        </w:rPr>
        <w:footnoteReference w:id="3"/>
      </w:r>
      <w:r>
        <w:t xml:space="preserve"> (PRM) requirement. This is the same model as used in the Resource Adequacy proceeding to calculate Effective Load Carrying Capability (ELCC). Staff will also use the SERVM model to calculate marginal ELCC values intended for use by individual LSEs to develop their respective IRP Preferred Plans. Staff will also rely on this same production cost modeling framework to evaluate the Preferred System Plan. This later phase of analysis is described in </w:t>
      </w:r>
      <w:r w:rsidR="001E5D61">
        <w:t>TBD section</w:t>
      </w:r>
      <w:r>
        <w:t>, Standard of Review for LSE Plans.</w:t>
      </w:r>
    </w:p>
    <w:p w14:paraId="49183328" w14:textId="77777777" w:rsidR="004544E9" w:rsidRDefault="004544E9" w:rsidP="004544E9">
      <w:r>
        <w:t>Production cost modeling of the Reference System Plan serves several important purposes:</w:t>
      </w:r>
    </w:p>
    <w:p w14:paraId="406F5EB2" w14:textId="1B8441BD" w:rsidR="004544E9" w:rsidRDefault="004544E9" w:rsidP="004544E9">
      <w:pPr>
        <w:pStyle w:val="ListParagraph"/>
        <w:numPr>
          <w:ilvl w:val="0"/>
          <w:numId w:val="166"/>
        </w:numPr>
      </w:pPr>
      <w:r>
        <w:t>Benchmark the SERVM model and dataset to the RESOLVE model and dataset and characterize differences (e.g. differences in model granularity and common metrics). This</w:t>
      </w:r>
      <w:r w:rsidRPr="009F2EC4">
        <w:t xml:space="preserve"> </w:t>
      </w:r>
      <w:r>
        <w:t>distinguishes fundamental differences between RESOLVE and SERVM representation of the Reference System Plan from any additional differences that could be observed later when comparing SERVM studies of the Reference System Plan and the Preferred System Plan.</w:t>
      </w:r>
    </w:p>
    <w:p w14:paraId="0B90B25A" w14:textId="4D577EF4" w:rsidR="004544E9" w:rsidRDefault="004544E9" w:rsidP="004544E9">
      <w:pPr>
        <w:pStyle w:val="ListParagraph"/>
        <w:numPr>
          <w:ilvl w:val="0"/>
          <w:numId w:val="166"/>
        </w:numPr>
      </w:pPr>
      <w:r>
        <w:t>Evaluate the Reference System Plan’s operational performance (e.g. probabilistic reliability level, emissions, RPS generation, curtailment patterns, production cost, import/export flows, dispatch patterns, etc.) and verify satisfaction of the PRM system reliability requirement</w:t>
      </w:r>
      <w:r w:rsidR="00CF1895">
        <w:t xml:space="preserve"> (using QC and average ELCC as described later)</w:t>
      </w:r>
      <w:r>
        <w:t>. This evaluation serves to establish the Reference System Plan as a reliable standard for comparison with the Preferred System Plan.</w:t>
      </w:r>
    </w:p>
    <w:p w14:paraId="4916D873" w14:textId="3E6A932B" w:rsidR="004544E9" w:rsidRDefault="004544E9" w:rsidP="004544E9">
      <w:pPr>
        <w:pStyle w:val="ListParagraph"/>
        <w:numPr>
          <w:ilvl w:val="0"/>
          <w:numId w:val="166"/>
        </w:numPr>
      </w:pPr>
      <w:r>
        <w:t xml:space="preserve">Repeat this evaluation of operational performance and verification of PRM satisfaction on </w:t>
      </w:r>
      <w:r w:rsidR="00317331">
        <w:t xml:space="preserve">an alternative RESOLVE case, for example </w:t>
      </w:r>
      <w:r>
        <w:t>the 50% RPS Default case</w:t>
      </w:r>
      <w:r w:rsidR="00317331">
        <w:t>,</w:t>
      </w:r>
      <w:r>
        <w:rPr>
          <w:rStyle w:val="FootnoteReference"/>
        </w:rPr>
        <w:footnoteReference w:id="4"/>
      </w:r>
      <w:r>
        <w:t xml:space="preserve"> such that it is available for use in any of the CAISO’s 2018-19 Transmission Planning Process (TPP) studies.</w:t>
      </w:r>
    </w:p>
    <w:p w14:paraId="0C7A7EA2" w14:textId="324A5302" w:rsidR="004544E9" w:rsidRDefault="004544E9" w:rsidP="004544E9">
      <w:pPr>
        <w:pStyle w:val="ListParagraph"/>
        <w:numPr>
          <w:ilvl w:val="0"/>
          <w:numId w:val="166"/>
        </w:numPr>
      </w:pPr>
      <w:r>
        <w:t xml:space="preserve">Reevaluate the performance of the Reference System Plan </w:t>
      </w:r>
      <w:r w:rsidR="00317331">
        <w:t>(</w:t>
      </w:r>
      <w:r>
        <w:t xml:space="preserve">and </w:t>
      </w:r>
      <w:r w:rsidR="00317331">
        <w:t>any other alternative RESOLVE case)</w:t>
      </w:r>
      <w:r>
        <w:t xml:space="preserve"> after incorporation of the 2017 IEPR demand forecast (expected to be adopted by the California </w:t>
      </w:r>
      <w:r>
        <w:lastRenderedPageBreak/>
        <w:t xml:space="preserve">Energy Commission (CEC) in January 2018) or any other data update that may be warranted. SERVM modeling </w:t>
      </w:r>
      <w:r w:rsidRPr="00CF51CF">
        <w:rPr>
          <w:i/>
        </w:rPr>
        <w:t>without</w:t>
      </w:r>
      <w:r w:rsidRPr="00CF51CF">
        <w:t xml:space="preserve"> </w:t>
      </w:r>
      <w:r w:rsidRPr="002D159B">
        <w:rPr>
          <w:i/>
        </w:rPr>
        <w:t>incorporating</w:t>
      </w:r>
      <w:r w:rsidRPr="00CF51CF">
        <w:t xml:space="preserve"> the </w:t>
      </w:r>
      <w:r>
        <w:t xml:space="preserve">2017 IEPR is still required to be able to benchmark with RESOLVE cases because RESOLVE modeling relied on the previous IEPR (2016 IEPR Update demand forecast). SERVM modeling </w:t>
      </w:r>
      <w:r w:rsidRPr="002D159B">
        <w:rPr>
          <w:i/>
        </w:rPr>
        <w:t>incorporating</w:t>
      </w:r>
      <w:r>
        <w:t xml:space="preserve"> the 2017 IEPR is also required because the LSEs will be building the Preferred System Plan based on the 2017 IEPR. The CAISO’s 2018-19 TPP will also use the 2017 IEPR.</w:t>
      </w:r>
    </w:p>
    <w:p w14:paraId="5258D1EF" w14:textId="1DD592BB" w:rsidR="004544E9" w:rsidRDefault="004544E9" w:rsidP="004544E9">
      <w:pPr>
        <w:pStyle w:val="ListParagraph"/>
        <w:numPr>
          <w:ilvl w:val="0"/>
          <w:numId w:val="166"/>
        </w:numPr>
      </w:pPr>
      <w:r>
        <w:t xml:space="preserve">Determine the marginal ELCCs of new wind and solar resources implied by the Reference System Plan and provide these values to LSEs to </w:t>
      </w:r>
      <w:r w:rsidR="00FE5F95">
        <w:t xml:space="preserve">guide </w:t>
      </w:r>
      <w:r>
        <w:t>the design of their respective IRP Preferred Plans.</w:t>
      </w:r>
    </w:p>
    <w:p w14:paraId="347AA9CC" w14:textId="17219566" w:rsidR="004544E9" w:rsidRDefault="004544E9" w:rsidP="00CE1629">
      <w:pPr>
        <w:pStyle w:val="Heading2"/>
      </w:pPr>
      <w:r>
        <w:t>Modeling Scope and Conventions</w:t>
      </w:r>
    </w:p>
    <w:p w14:paraId="60D0C722" w14:textId="77777777" w:rsidR="004544E9" w:rsidRDefault="004544E9" w:rsidP="004544E9">
      <w:r>
        <w:t>The following describes the scope and conventions that staff will use for production cost modeling of IRP system plans with the SERVM model.</w:t>
      </w:r>
    </w:p>
    <w:p w14:paraId="44743CE4" w14:textId="760D9A04" w:rsidR="004544E9" w:rsidRDefault="004544E9" w:rsidP="004544E9">
      <w:pPr>
        <w:pStyle w:val="ListParagraph"/>
        <w:numPr>
          <w:ilvl w:val="0"/>
          <w:numId w:val="165"/>
        </w:numPr>
      </w:pPr>
      <w:r>
        <w:t>Study years: 2022, 2030. The RESOLVE cases explicitly provide results for years 2018, 2022, 2026, and 2030. Staff has limited resources and time to conduct modeling so a compromise is production cost modeling of two of the four years from the RESOLVE cases.</w:t>
      </w:r>
    </w:p>
    <w:p w14:paraId="3A50D2FE" w14:textId="32E91638" w:rsidR="004544E9" w:rsidRDefault="004544E9" w:rsidP="004544E9">
      <w:pPr>
        <w:pStyle w:val="ListParagraph"/>
        <w:numPr>
          <w:ilvl w:val="0"/>
          <w:numId w:val="165"/>
        </w:numPr>
      </w:pPr>
      <w:r>
        <w:t>Loss-of-load event definitions and counting conventions</w:t>
      </w:r>
      <w:r w:rsidR="00656B82">
        <w:t>, and operating reserve targets</w:t>
      </w:r>
      <w:r>
        <w:t xml:space="preserve"> shall match those used in the Resource Adequacy proceeding’s </w:t>
      </w:r>
      <w:r w:rsidR="00656B82">
        <w:t xml:space="preserve">production cost modeling with SERVM for </w:t>
      </w:r>
      <w:r>
        <w:t>ELCC calculations.</w:t>
      </w:r>
      <w:r w:rsidR="00656B82">
        <w:t xml:space="preserve">  Multiple loss-of-load events occurring within one day shall count as one event for purposes of counting events towards a reliability target.  The loss-of-load event occurs when </w:t>
      </w:r>
      <w:r w:rsidR="000D217C">
        <w:t>r</w:t>
      </w:r>
      <w:r w:rsidR="00656B82">
        <w:t xml:space="preserve">egulation </w:t>
      </w:r>
      <w:r w:rsidR="000D217C">
        <w:t>u</w:t>
      </w:r>
      <w:r w:rsidR="00656B82">
        <w:t>p/</w:t>
      </w:r>
      <w:r w:rsidR="000D217C">
        <w:t>d</w:t>
      </w:r>
      <w:r w:rsidR="00656B82">
        <w:t>own (1.5% of hourly forecast load) or spinning reserves (3.0% of hourly forecast load) cannot be maintained.</w:t>
      </w:r>
    </w:p>
    <w:p w14:paraId="4CD6C8A5" w14:textId="0CD8DB72" w:rsidR="004544E9" w:rsidRDefault="004544E9" w:rsidP="004544E9">
      <w:pPr>
        <w:pStyle w:val="ListParagraph"/>
        <w:numPr>
          <w:ilvl w:val="0"/>
          <w:numId w:val="165"/>
        </w:numPr>
      </w:pPr>
      <w:r>
        <w:t>For ELCC calculations, use an annual loss-of-load-expectation (LOLE) reliability target range of 0.095 to 0.105</w:t>
      </w:r>
      <w:r w:rsidR="009B220C">
        <w:t xml:space="preserve"> </w:t>
      </w:r>
      <w:r w:rsidR="00CF1895">
        <w:t>in total covering</w:t>
      </w:r>
      <w:r w:rsidR="009B220C">
        <w:t xml:space="preserve"> the four summer months of the year (June through September)</w:t>
      </w:r>
      <w:r>
        <w:t xml:space="preserve">. </w:t>
      </w:r>
      <w:r w:rsidR="009B220C">
        <w:t xml:space="preserve">No effort will be made to surface LOLE outside of the four summer months, and each of the summer months will be calibrated to an equal LOLE (each month will be calibrated until there is about 0.025 LOLE in each of the four summer months).  </w:t>
      </w:r>
      <w:r>
        <w:t xml:space="preserve">This is consistent with the </w:t>
      </w:r>
      <w:r w:rsidR="009D2D61">
        <w:t xml:space="preserve">“Levelized </w:t>
      </w:r>
      <w:r w:rsidR="00C32A9D">
        <w:t xml:space="preserve">monthly </w:t>
      </w:r>
      <w:r w:rsidR="009D2D61">
        <w:t xml:space="preserve">LOLE” approach used in the </w:t>
      </w:r>
      <w:r>
        <w:t>Resource Adequacy proceeding’s ELCC calculations</w:t>
      </w:r>
      <w:r w:rsidR="00AD615B">
        <w:t>,</w:t>
      </w:r>
      <w:r w:rsidR="009B220C">
        <w:t xml:space="preserve"> </w:t>
      </w:r>
      <w:r w:rsidR="009D2D61">
        <w:t>albeit only focusing o</w:t>
      </w:r>
      <w:r w:rsidR="009B220C">
        <w:t>n the summer months</w:t>
      </w:r>
      <w:r>
        <w:t>.</w:t>
      </w:r>
    </w:p>
    <w:p w14:paraId="460FF0B0" w14:textId="21851563" w:rsidR="001F6F02" w:rsidRDefault="004544E9" w:rsidP="001F6F02">
      <w:pPr>
        <w:pStyle w:val="ListParagraph"/>
        <w:numPr>
          <w:ilvl w:val="0"/>
          <w:numId w:val="165"/>
        </w:numPr>
      </w:pPr>
      <w:r>
        <w:t xml:space="preserve">For ELCC calculations, the calibration of the system under study to the LOLE reliability target range </w:t>
      </w:r>
      <w:r w:rsidR="009D2D61">
        <w:t xml:space="preserve">may </w:t>
      </w:r>
      <w:r>
        <w:t xml:space="preserve">involve removing or adding generation. </w:t>
      </w:r>
    </w:p>
    <w:p w14:paraId="2B1AECD7" w14:textId="29B8916D" w:rsidR="00B0607E" w:rsidRDefault="004544E9" w:rsidP="000D217C">
      <w:pPr>
        <w:pStyle w:val="ListParagraph"/>
        <w:numPr>
          <w:ilvl w:val="0"/>
          <w:numId w:val="179"/>
        </w:numPr>
      </w:pPr>
      <w:r>
        <w:t xml:space="preserve">Removal of generation to surface </w:t>
      </w:r>
      <w:r w:rsidR="009D2D61">
        <w:t xml:space="preserve">LOLE </w:t>
      </w:r>
      <w:r>
        <w:t xml:space="preserve">events in overbuilt systems shall </w:t>
      </w:r>
      <w:r w:rsidR="009B220C">
        <w:t xml:space="preserve">follow an order of removal described below.  </w:t>
      </w:r>
      <w:r w:rsidR="00B64C24">
        <w:t>Conventional thermal g</w:t>
      </w:r>
      <w:r w:rsidR="009B220C">
        <w:t xml:space="preserve">enerators that have announced their retirement </w:t>
      </w:r>
      <w:r w:rsidR="00B64C24">
        <w:t>will be removed first</w:t>
      </w:r>
      <w:r w:rsidR="009B220C">
        <w:t xml:space="preserve">.  If LOLE remains below the target level, additional conventional </w:t>
      </w:r>
      <w:r w:rsidR="00B64C24">
        <w:t>thermal</w:t>
      </w:r>
      <w:r w:rsidR="009B220C">
        <w:t xml:space="preserve"> generation will be removed from CAISO areas ranked by age of the facility.  The oldest one will be removed first, continuing in order of age.  No hydro generation or renewable generation will be removed.  </w:t>
      </w:r>
    </w:p>
    <w:p w14:paraId="06DBEA53" w14:textId="42FCB3CB" w:rsidR="004544E9" w:rsidRDefault="004544E9" w:rsidP="000D217C">
      <w:pPr>
        <w:pStyle w:val="ListParagraph"/>
        <w:numPr>
          <w:ilvl w:val="0"/>
          <w:numId w:val="179"/>
        </w:numPr>
      </w:pPr>
      <w:r>
        <w:t xml:space="preserve">Addition of generation to reduce </w:t>
      </w:r>
      <w:r w:rsidR="009D2D61">
        <w:t>LOLE</w:t>
      </w:r>
      <w:r>
        <w:t xml:space="preserve"> events in underbuilt systems shall use perfect capacity as additions. Perfect capacity is a modeling proxy for generation with no operating constraints, e.g. always available, starts instantly, infinite ramp rate, no minimum operating level.</w:t>
      </w:r>
    </w:p>
    <w:p w14:paraId="3DB9184B" w14:textId="3181C5A1" w:rsidR="004544E9" w:rsidRDefault="004544E9" w:rsidP="004544E9">
      <w:pPr>
        <w:pStyle w:val="ListParagraph"/>
        <w:numPr>
          <w:ilvl w:val="0"/>
          <w:numId w:val="165"/>
        </w:numPr>
      </w:pPr>
      <w:r>
        <w:lastRenderedPageBreak/>
        <w:t>BTM PV will be explicitly modeled as generation, rather than part of the load forecast</w:t>
      </w:r>
      <w:r w:rsidR="00B64C24">
        <w:t>, consistent with its treatment in the RESOLVE model</w:t>
      </w:r>
      <w:r>
        <w:t>.</w:t>
      </w:r>
    </w:p>
    <w:p w14:paraId="00E5BA2F" w14:textId="17C7E9F5" w:rsidR="004544E9" w:rsidRDefault="00B64C24" w:rsidP="004544E9">
      <w:pPr>
        <w:pStyle w:val="ListParagraph"/>
        <w:numPr>
          <w:ilvl w:val="0"/>
          <w:numId w:val="165"/>
        </w:numPr>
      </w:pPr>
      <w:r>
        <w:t>A</w:t>
      </w:r>
      <w:r w:rsidR="004544E9">
        <w:t>verage ELCC calculations will include both utility-scale solar and BTM PV together.</w:t>
      </w:r>
    </w:p>
    <w:p w14:paraId="082454C0" w14:textId="77777777" w:rsidR="004544E9" w:rsidRDefault="004544E9" w:rsidP="004544E9">
      <w:pPr>
        <w:pStyle w:val="ListParagraph"/>
        <w:keepNext/>
        <w:numPr>
          <w:ilvl w:val="0"/>
          <w:numId w:val="165"/>
        </w:numPr>
      </w:pPr>
      <w:r>
        <w:t>For reserve margin calculations, the counting of effective capacity shall use the conventions in the following table:</w:t>
      </w:r>
    </w:p>
    <w:tbl>
      <w:tblPr>
        <w:tblStyle w:val="TableGrid"/>
        <w:tblW w:w="0" w:type="auto"/>
        <w:tblInd w:w="720" w:type="dxa"/>
        <w:tblLook w:val="04A0" w:firstRow="1" w:lastRow="0" w:firstColumn="1" w:lastColumn="0" w:noHBand="0" w:noVBand="1"/>
      </w:tblPr>
      <w:tblGrid>
        <w:gridCol w:w="3438"/>
        <w:gridCol w:w="5418"/>
      </w:tblGrid>
      <w:tr w:rsidR="004544E9" w14:paraId="1872BDD3" w14:textId="77777777" w:rsidTr="004B3A73">
        <w:tc>
          <w:tcPr>
            <w:tcW w:w="3438" w:type="dxa"/>
            <w:shd w:val="clear" w:color="auto" w:fill="C6D9F1" w:themeFill="text2" w:themeFillTint="33"/>
          </w:tcPr>
          <w:p w14:paraId="74D3FBA7" w14:textId="77777777" w:rsidR="004544E9" w:rsidRDefault="004544E9" w:rsidP="004B3A73">
            <w:pPr>
              <w:pStyle w:val="ListParagraph"/>
              <w:keepNext/>
              <w:ind w:left="0"/>
            </w:pPr>
            <w:r>
              <w:t>Component</w:t>
            </w:r>
          </w:p>
        </w:tc>
        <w:tc>
          <w:tcPr>
            <w:tcW w:w="5418" w:type="dxa"/>
            <w:shd w:val="clear" w:color="auto" w:fill="C6D9F1" w:themeFill="text2" w:themeFillTint="33"/>
          </w:tcPr>
          <w:p w14:paraId="036A19F7" w14:textId="77777777" w:rsidR="004544E9" w:rsidRDefault="004544E9" w:rsidP="004B3A73">
            <w:pPr>
              <w:pStyle w:val="ListParagraph"/>
              <w:keepNext/>
              <w:ind w:left="0"/>
            </w:pPr>
            <w:r>
              <w:t>Counting convention</w:t>
            </w:r>
          </w:p>
        </w:tc>
      </w:tr>
      <w:tr w:rsidR="004544E9" w14:paraId="526779B4" w14:textId="77777777" w:rsidTr="004B3A73">
        <w:tc>
          <w:tcPr>
            <w:tcW w:w="3438" w:type="dxa"/>
          </w:tcPr>
          <w:p w14:paraId="04E8F7C3" w14:textId="77777777" w:rsidR="004544E9" w:rsidRDefault="004544E9" w:rsidP="004B3A73">
            <w:pPr>
              <w:pStyle w:val="ListParagraph"/>
              <w:keepNext/>
              <w:ind w:left="0"/>
            </w:pPr>
            <w:r>
              <w:t>Peak demand</w:t>
            </w:r>
          </w:p>
        </w:tc>
        <w:tc>
          <w:tcPr>
            <w:tcW w:w="5418" w:type="dxa"/>
          </w:tcPr>
          <w:p w14:paraId="7875987A" w14:textId="77777777" w:rsidR="004544E9" w:rsidRDefault="004544E9" w:rsidP="004B3A73">
            <w:pPr>
              <w:pStyle w:val="ListParagraph"/>
              <w:keepNext/>
              <w:ind w:left="0"/>
            </w:pPr>
            <w:r>
              <w:t>IEPR 1-in-2 annual peak consumption forecast adjusted for load-modifier impacts but excluding BTM PV impact</w:t>
            </w:r>
          </w:p>
        </w:tc>
      </w:tr>
      <w:tr w:rsidR="004544E9" w14:paraId="58ECEBC4" w14:textId="77777777" w:rsidTr="004B3A73">
        <w:tc>
          <w:tcPr>
            <w:tcW w:w="3438" w:type="dxa"/>
          </w:tcPr>
          <w:p w14:paraId="66B4D21E" w14:textId="77777777" w:rsidR="004544E9" w:rsidRDefault="004544E9" w:rsidP="004B3A73">
            <w:pPr>
              <w:pStyle w:val="ListParagraph"/>
              <w:keepNext/>
              <w:ind w:left="0"/>
            </w:pPr>
            <w:r>
              <w:t>Existing non-wind, non-solar</w:t>
            </w:r>
          </w:p>
        </w:tc>
        <w:tc>
          <w:tcPr>
            <w:tcW w:w="5418" w:type="dxa"/>
          </w:tcPr>
          <w:p w14:paraId="41EDC009" w14:textId="77777777" w:rsidR="004544E9" w:rsidRDefault="004544E9" w:rsidP="004B3A73">
            <w:pPr>
              <w:pStyle w:val="ListParagraph"/>
              <w:keepNext/>
              <w:ind w:left="0"/>
            </w:pPr>
            <w:r>
              <w:t>Use current Net Qualifying Capacity values</w:t>
            </w:r>
          </w:p>
        </w:tc>
      </w:tr>
      <w:tr w:rsidR="004544E9" w14:paraId="1D992747" w14:textId="77777777" w:rsidTr="004B3A73">
        <w:tc>
          <w:tcPr>
            <w:tcW w:w="3438" w:type="dxa"/>
          </w:tcPr>
          <w:p w14:paraId="141D9785" w14:textId="77777777" w:rsidR="004544E9" w:rsidRDefault="004544E9" w:rsidP="004B3A73">
            <w:pPr>
              <w:pStyle w:val="ListParagraph"/>
              <w:keepNext/>
              <w:ind w:left="0"/>
            </w:pPr>
            <w:r>
              <w:t>New non-wind, non-solar</w:t>
            </w:r>
          </w:p>
        </w:tc>
        <w:tc>
          <w:tcPr>
            <w:tcW w:w="5418" w:type="dxa"/>
          </w:tcPr>
          <w:p w14:paraId="4E4A9093" w14:textId="77777777" w:rsidR="004544E9" w:rsidRDefault="004544E9" w:rsidP="004B3A73">
            <w:pPr>
              <w:pStyle w:val="ListParagraph"/>
              <w:keepNext/>
              <w:ind w:left="0"/>
            </w:pPr>
            <w:r>
              <w:t>Use same conventions as the RESOLVE model</w:t>
            </w:r>
          </w:p>
        </w:tc>
      </w:tr>
      <w:tr w:rsidR="004544E9" w14:paraId="6017F6D7" w14:textId="77777777" w:rsidTr="004B3A73">
        <w:tc>
          <w:tcPr>
            <w:tcW w:w="3438" w:type="dxa"/>
          </w:tcPr>
          <w:p w14:paraId="17849A66" w14:textId="77777777" w:rsidR="004544E9" w:rsidRDefault="004544E9" w:rsidP="004B3A73">
            <w:pPr>
              <w:pStyle w:val="ListParagraph"/>
              <w:keepNext/>
              <w:ind w:left="0"/>
            </w:pPr>
            <w:r>
              <w:t>Wind and solar (including BTM PV), existing and new</w:t>
            </w:r>
          </w:p>
        </w:tc>
        <w:tc>
          <w:tcPr>
            <w:tcW w:w="5418" w:type="dxa"/>
          </w:tcPr>
          <w:p w14:paraId="5523F918" w14:textId="12A22401" w:rsidR="004544E9" w:rsidRDefault="004544E9" w:rsidP="001F6F02">
            <w:pPr>
              <w:pStyle w:val="ListParagraph"/>
              <w:keepNext/>
              <w:ind w:left="0"/>
            </w:pPr>
            <w:r>
              <w:t xml:space="preserve">Calculate the </w:t>
            </w:r>
            <w:r w:rsidR="00A766AE">
              <w:t xml:space="preserve">average </w:t>
            </w:r>
            <w:r>
              <w:t>portfolio ELCC</w:t>
            </w:r>
            <w:r w:rsidR="00A766AE">
              <w:t xml:space="preserve"> of </w:t>
            </w:r>
            <w:r w:rsidR="001F6F02">
              <w:t xml:space="preserve">these resources </w:t>
            </w:r>
            <w:r w:rsidR="00A766AE">
              <w:t>combined</w:t>
            </w:r>
          </w:p>
        </w:tc>
      </w:tr>
    </w:tbl>
    <w:p w14:paraId="1265903E" w14:textId="77777777" w:rsidR="004544E9" w:rsidRDefault="004544E9" w:rsidP="004544E9">
      <w:pPr>
        <w:pStyle w:val="ListParagraph"/>
      </w:pPr>
    </w:p>
    <w:p w14:paraId="5D5B50D8" w14:textId="77777777" w:rsidR="004544E9" w:rsidRDefault="004544E9" w:rsidP="004544E9">
      <w:pPr>
        <w:pStyle w:val="ListParagraph"/>
        <w:numPr>
          <w:ilvl w:val="0"/>
          <w:numId w:val="165"/>
        </w:numPr>
      </w:pPr>
      <w:r>
        <w:t>Hourly load shapes will be built up from fundamental consumption load shapes and shapes for various load modifiers such as AAEE, TOU rates, and EV charging patterns.</w:t>
      </w:r>
    </w:p>
    <w:p w14:paraId="133962C3" w14:textId="410E512F" w:rsidR="004544E9" w:rsidRDefault="00BB0593" w:rsidP="004544E9">
      <w:pPr>
        <w:pStyle w:val="ListParagraph"/>
        <w:numPr>
          <w:ilvl w:val="0"/>
          <w:numId w:val="165"/>
        </w:numPr>
      </w:pPr>
      <w:r>
        <w:t xml:space="preserve">SERVM will be run using hourly time-steps. </w:t>
      </w:r>
    </w:p>
    <w:p w14:paraId="1B8E82B9" w14:textId="77777777" w:rsidR="004544E9" w:rsidRDefault="004544E9" w:rsidP="004544E9">
      <w:pPr>
        <w:pStyle w:val="ListParagraph"/>
        <w:numPr>
          <w:ilvl w:val="0"/>
          <w:numId w:val="165"/>
        </w:numPr>
      </w:pPr>
      <w:r>
        <w:t>Unless superseded by a specific guideline called out in this document, staff will follow the modeling guidelines in the ALJ Ruling Directing Production Cost Modeling Requirements issued in R.16-02-007 on September 23, 2016.</w:t>
      </w:r>
    </w:p>
    <w:p w14:paraId="4539A94E" w14:textId="77777777" w:rsidR="004544E9" w:rsidRDefault="004544E9" w:rsidP="004544E9">
      <w:pPr>
        <w:pStyle w:val="Heading2"/>
      </w:pPr>
      <w:r>
        <w:t>Modeling Steps (Order of Studies)</w:t>
      </w:r>
    </w:p>
    <w:p w14:paraId="5020F4B8" w14:textId="2A9D142E" w:rsidR="004544E9" w:rsidRDefault="004544E9" w:rsidP="004544E9">
      <w:r>
        <w:t>The following describes the steps (order of studies) that staff will use for production cost modeling of IRP system plans with the SERVM model. In the steps below, “study” or “studies” means production cost modeling runs.</w:t>
      </w:r>
    </w:p>
    <w:p w14:paraId="1B591974" w14:textId="60FD81DD" w:rsidR="004544E9" w:rsidRDefault="0011573F" w:rsidP="004544E9">
      <w:pPr>
        <w:pStyle w:val="ListParagraph"/>
        <w:numPr>
          <w:ilvl w:val="0"/>
          <w:numId w:val="164"/>
        </w:numPr>
      </w:pPr>
      <w:r>
        <w:t>Calibrate</w:t>
      </w:r>
      <w:r w:rsidR="004544E9">
        <w:t xml:space="preserve"> RESOLVE’s Reference System Plan </w:t>
      </w:r>
      <w:r>
        <w:t>representation and</w:t>
      </w:r>
      <w:r w:rsidR="004544E9">
        <w:t xml:space="preserve"> </w:t>
      </w:r>
      <w:r>
        <w:t>the</w:t>
      </w:r>
      <w:r w:rsidR="004544E9">
        <w:t xml:space="preserve"> SERVM dataset</w:t>
      </w:r>
      <w:r>
        <w:t>’s representation</w:t>
      </w:r>
      <w:r w:rsidR="004544E9">
        <w:t xml:space="preserve"> (e.g. total system portfolio, topology, operational constraints)</w:t>
      </w:r>
    </w:p>
    <w:p w14:paraId="44322C1D" w14:textId="77777777" w:rsidR="004544E9" w:rsidRDefault="004544E9" w:rsidP="004544E9">
      <w:pPr>
        <w:pStyle w:val="ListParagraph"/>
        <w:numPr>
          <w:ilvl w:val="1"/>
          <w:numId w:val="164"/>
        </w:numPr>
      </w:pPr>
      <w:r>
        <w:t>Produce a report comparing the RESOLVE and SERVM models and inputs, characterizing areas of alignment and differences</w:t>
      </w:r>
    </w:p>
    <w:p w14:paraId="53D33E7C" w14:textId="77777777" w:rsidR="004544E9" w:rsidRDefault="004544E9" w:rsidP="004544E9">
      <w:pPr>
        <w:pStyle w:val="ListParagraph"/>
        <w:numPr>
          <w:ilvl w:val="1"/>
          <w:numId w:val="164"/>
        </w:numPr>
      </w:pPr>
      <w:r>
        <w:t>Post the SERVM dataset representing the Reference System Plan</w:t>
      </w:r>
    </w:p>
    <w:p w14:paraId="6A10EEBD" w14:textId="308A91EB" w:rsidR="004544E9" w:rsidRDefault="004544E9" w:rsidP="004544E9">
      <w:pPr>
        <w:pStyle w:val="ListParagraph"/>
        <w:numPr>
          <w:ilvl w:val="1"/>
          <w:numId w:val="164"/>
        </w:numPr>
      </w:pPr>
      <w:r>
        <w:t xml:space="preserve">Post the SERVM dataset representing </w:t>
      </w:r>
      <w:r w:rsidR="0011573F">
        <w:t>the alternative RESOLVE</w:t>
      </w:r>
      <w:r>
        <w:t xml:space="preserve"> case</w:t>
      </w:r>
      <w:r w:rsidR="0011573F">
        <w:t>, if any</w:t>
      </w:r>
    </w:p>
    <w:p w14:paraId="26A3C4BE" w14:textId="77777777" w:rsidR="004544E9" w:rsidRDefault="004544E9" w:rsidP="004544E9">
      <w:pPr>
        <w:pStyle w:val="ListParagraph"/>
        <w:numPr>
          <w:ilvl w:val="0"/>
          <w:numId w:val="164"/>
        </w:numPr>
      </w:pPr>
      <w:r>
        <w:t>Conduct Reference System Plan studies for years 2022 and 2030</w:t>
      </w:r>
    </w:p>
    <w:p w14:paraId="73BF7F11" w14:textId="77777777" w:rsidR="004544E9" w:rsidRDefault="004544E9" w:rsidP="004544E9">
      <w:pPr>
        <w:pStyle w:val="ListParagraph"/>
        <w:numPr>
          <w:ilvl w:val="1"/>
          <w:numId w:val="164"/>
        </w:numPr>
      </w:pPr>
      <w:r>
        <w:t>Evaluate operational performance, including quantifying the LOLE level before any calibration (addition or removal of generation)</w:t>
      </w:r>
    </w:p>
    <w:p w14:paraId="147AAB69" w14:textId="28AFBD45" w:rsidR="004544E9" w:rsidRDefault="004544E9" w:rsidP="004544E9">
      <w:pPr>
        <w:pStyle w:val="ListParagraph"/>
        <w:numPr>
          <w:ilvl w:val="1"/>
          <w:numId w:val="164"/>
        </w:numPr>
      </w:pPr>
      <w:r>
        <w:t>Benchmark key metrics from SERVM with equivalent metrics from RESOLVE</w:t>
      </w:r>
      <w:r w:rsidR="0061488F">
        <w:t xml:space="preserve"> as a check</w:t>
      </w:r>
      <w:r w:rsidR="00307B9C">
        <w:t xml:space="preserve"> on input or modeling differences and their projected impact on results</w:t>
      </w:r>
    </w:p>
    <w:p w14:paraId="410E94C4" w14:textId="77777777" w:rsidR="004544E9" w:rsidRDefault="004544E9" w:rsidP="004544E9">
      <w:pPr>
        <w:pStyle w:val="ListParagraph"/>
        <w:numPr>
          <w:ilvl w:val="1"/>
          <w:numId w:val="164"/>
        </w:numPr>
      </w:pPr>
      <w:r>
        <w:t>Calibrate the Reference System Plan to the desired LOLE level for calculating ELCC values, noting the quantity of generation added or removed</w:t>
      </w:r>
    </w:p>
    <w:p w14:paraId="676DF0D4" w14:textId="12CB3E4C" w:rsidR="004544E9" w:rsidRDefault="004544E9" w:rsidP="004544E9">
      <w:pPr>
        <w:pStyle w:val="ListParagraph"/>
        <w:numPr>
          <w:ilvl w:val="1"/>
          <w:numId w:val="164"/>
        </w:numPr>
      </w:pPr>
      <w:r>
        <w:t>Calculate the average portfolio ELCC of wind and solar (utility-scale + BTM PV)</w:t>
      </w:r>
    </w:p>
    <w:p w14:paraId="7FBCD5BF" w14:textId="77777777" w:rsidR="004544E9" w:rsidRDefault="004544E9" w:rsidP="004544E9">
      <w:pPr>
        <w:pStyle w:val="ListParagraph"/>
        <w:numPr>
          <w:ilvl w:val="1"/>
          <w:numId w:val="164"/>
        </w:numPr>
      </w:pPr>
      <w:r>
        <w:t>Calculate the reserve margin and</w:t>
      </w:r>
      <w:r w:rsidRPr="00A51CB8">
        <w:t xml:space="preserve"> </w:t>
      </w:r>
      <w:r>
        <w:t>verify satisfaction of the PRM system reliability requirement</w:t>
      </w:r>
    </w:p>
    <w:p w14:paraId="0A60ED56" w14:textId="6D6A4759" w:rsidR="004544E9" w:rsidRDefault="004544E9" w:rsidP="004544E9">
      <w:pPr>
        <w:pStyle w:val="ListParagraph"/>
        <w:numPr>
          <w:ilvl w:val="1"/>
          <w:numId w:val="164"/>
        </w:numPr>
      </w:pPr>
      <w:r>
        <w:t xml:space="preserve">Repeat of B1-B5 for the </w:t>
      </w:r>
      <w:r w:rsidR="00751F30">
        <w:t>alternative RESOLVE case, if any</w:t>
      </w:r>
    </w:p>
    <w:p w14:paraId="446B6A69" w14:textId="72A6FBE1" w:rsidR="00E137EA" w:rsidRDefault="004544E9" w:rsidP="004544E9">
      <w:pPr>
        <w:pStyle w:val="ListParagraph"/>
        <w:numPr>
          <w:ilvl w:val="1"/>
          <w:numId w:val="164"/>
        </w:numPr>
      </w:pPr>
      <w:r>
        <w:lastRenderedPageBreak/>
        <w:t xml:space="preserve">Calculate the marginal (not average) ELCC values </w:t>
      </w:r>
      <w:r w:rsidR="00E137EA">
        <w:t>of the following to guide LSE Plan development:</w:t>
      </w:r>
      <w:r w:rsidR="008442CA">
        <w:t xml:space="preserve"> </w:t>
      </w:r>
    </w:p>
    <w:p w14:paraId="6E4BFA62" w14:textId="0C79963B" w:rsidR="00E137EA" w:rsidRDefault="008442CA" w:rsidP="00E137EA">
      <w:pPr>
        <w:pStyle w:val="ListParagraph"/>
        <w:numPr>
          <w:ilvl w:val="2"/>
          <w:numId w:val="182"/>
        </w:numPr>
      </w:pPr>
      <w:r>
        <w:t xml:space="preserve">1,000 MW block of </w:t>
      </w:r>
      <w:r w:rsidR="004544E9">
        <w:t xml:space="preserve">new wind </w:t>
      </w:r>
      <w:r w:rsidR="009D2D61">
        <w:t>facilities</w:t>
      </w:r>
    </w:p>
    <w:p w14:paraId="4CE5AF21" w14:textId="058B5DC1" w:rsidR="00E137EA" w:rsidRDefault="00E137EA" w:rsidP="00E137EA">
      <w:pPr>
        <w:pStyle w:val="ListParagraph"/>
        <w:numPr>
          <w:ilvl w:val="2"/>
          <w:numId w:val="182"/>
        </w:numPr>
      </w:pPr>
      <w:r>
        <w:t xml:space="preserve">1,000 MW block of </w:t>
      </w:r>
      <w:r w:rsidR="009D2D61">
        <w:t xml:space="preserve">new </w:t>
      </w:r>
      <w:r w:rsidR="004544E9">
        <w:t xml:space="preserve">solar (utility-scale) </w:t>
      </w:r>
      <w:r w:rsidR="009D2D61">
        <w:t>facilities</w:t>
      </w:r>
    </w:p>
    <w:p w14:paraId="437DB3C4" w14:textId="2FFD7C8D" w:rsidR="004544E9" w:rsidRDefault="00E137EA" w:rsidP="00E137EA">
      <w:pPr>
        <w:pStyle w:val="ListParagraph"/>
        <w:ind w:left="1440"/>
      </w:pPr>
      <w:r>
        <w:t>Values for o</w:t>
      </w:r>
      <w:r w:rsidR="004544E9">
        <w:t>nly one location (the CAISO balancing area), one solar technology type (single-axis tracking), and two years (2022, 2030) will be calculated. Future IRP cycles may consider additional granularity and years.</w:t>
      </w:r>
      <w:r w:rsidR="0061488F">
        <w:t xml:space="preserve">  The RESOLVE model is also capable of producing estimates of marginal ELCC of wind and solar for modeled years.  These can be benchmarked with the marginal ELCC values produced using the SERVM model as a sanity check.</w:t>
      </w:r>
    </w:p>
    <w:p w14:paraId="48663088" w14:textId="3D81CD3E" w:rsidR="004544E9" w:rsidRDefault="004544E9" w:rsidP="004544E9">
      <w:pPr>
        <w:pStyle w:val="ListParagraph"/>
        <w:numPr>
          <w:ilvl w:val="0"/>
          <w:numId w:val="164"/>
        </w:numPr>
      </w:pPr>
      <w:r>
        <w:t>Update the SERVM dataset to incorporate the 2017 IEPR demand forecast</w:t>
      </w:r>
      <w:r w:rsidR="009E40F3">
        <w:rPr>
          <w:rStyle w:val="FootnoteReference"/>
        </w:rPr>
        <w:footnoteReference w:id="5"/>
      </w:r>
    </w:p>
    <w:p w14:paraId="1360B271" w14:textId="77777777" w:rsidR="004544E9" w:rsidRDefault="004544E9" w:rsidP="004544E9">
      <w:pPr>
        <w:pStyle w:val="ListParagraph"/>
        <w:numPr>
          <w:ilvl w:val="1"/>
          <w:numId w:val="164"/>
        </w:numPr>
      </w:pPr>
      <w:r>
        <w:t>Post the updated SERVM dataset representing the Reference System Plan</w:t>
      </w:r>
    </w:p>
    <w:p w14:paraId="7FAA5524" w14:textId="43D84A73" w:rsidR="004544E9" w:rsidRDefault="004544E9" w:rsidP="004544E9">
      <w:pPr>
        <w:pStyle w:val="ListParagraph"/>
        <w:numPr>
          <w:ilvl w:val="1"/>
          <w:numId w:val="164"/>
        </w:numPr>
      </w:pPr>
      <w:r>
        <w:t xml:space="preserve">Post the updated SERVM dataset representing the </w:t>
      </w:r>
      <w:r w:rsidR="00C15447">
        <w:t>alternative RESOLVE</w:t>
      </w:r>
      <w:r>
        <w:t xml:space="preserve"> case</w:t>
      </w:r>
      <w:r w:rsidR="00C15447">
        <w:t>, if any</w:t>
      </w:r>
    </w:p>
    <w:p w14:paraId="449139D8" w14:textId="77777777" w:rsidR="004544E9" w:rsidRDefault="004544E9" w:rsidP="004544E9">
      <w:pPr>
        <w:pStyle w:val="ListParagraph"/>
        <w:numPr>
          <w:ilvl w:val="0"/>
          <w:numId w:val="164"/>
        </w:numPr>
      </w:pPr>
      <w:r>
        <w:t>Conduct updated Reference System Plan studies for years 2022 and 2030</w:t>
      </w:r>
    </w:p>
    <w:p w14:paraId="1264DF60" w14:textId="77777777" w:rsidR="004544E9" w:rsidRDefault="004544E9" w:rsidP="004544E9">
      <w:pPr>
        <w:pStyle w:val="ListParagraph"/>
        <w:numPr>
          <w:ilvl w:val="1"/>
          <w:numId w:val="164"/>
        </w:numPr>
      </w:pPr>
      <w:r>
        <w:t>Repeat all studies in B. using the 2017 IEPR demand forecast</w:t>
      </w:r>
    </w:p>
    <w:p w14:paraId="42DA196D" w14:textId="036F1158" w:rsidR="004544E9" w:rsidRDefault="004544E9" w:rsidP="004544E9">
      <w:pPr>
        <w:pStyle w:val="ListParagraph"/>
        <w:numPr>
          <w:ilvl w:val="0"/>
          <w:numId w:val="164"/>
        </w:numPr>
      </w:pPr>
      <w:r>
        <w:t>Staff may consider running additional sensitivities of any of the studies above (e.g. use different reserve requirements or net exports constraints)</w:t>
      </w:r>
    </w:p>
    <w:p w14:paraId="440E433D" w14:textId="35AEBF31" w:rsidR="004544E9" w:rsidRDefault="004544E9" w:rsidP="004544E9">
      <w:r>
        <w:t>In the evaluation of operational performance (B1) step, staff will be reporting the key metric of GHG emissions. Total CAISO balancing area annual emissions will be the primary measure of whether the Reference System Plan meets emissions requirements. California and WECC-wide emissions can also be reported from the model.</w:t>
      </w:r>
    </w:p>
    <w:p w14:paraId="7236506D" w14:textId="1A21B584" w:rsidR="004544E9" w:rsidRDefault="004544E9" w:rsidP="004544E9">
      <w:r>
        <w:t xml:space="preserve">In the calibration (B3) step, </w:t>
      </w:r>
      <w:r w:rsidR="00BB0593">
        <w:t>if</w:t>
      </w:r>
      <w:r>
        <w:t xml:space="preserve"> generation had to be added, the quantity added would be noted and reconsidered during the evaluation of the Preferred System Plan. This is because the Preferred System Plan may introduce other system changes that effectively reduces or increases the quantity of generation that must be added to achieve the target probabilistic reliability level range. Note that while this exercise may be useful in characterizing any shortfall in reliability, the analysis actually determining whether any system reliability-driven additional procurement is necessary is</w:t>
      </w:r>
      <w:r w:rsidRPr="00957FDE">
        <w:t xml:space="preserve"> </w:t>
      </w:r>
      <w:r>
        <w:t xml:space="preserve">step B5, the reserve margin calculation and verification of PRM satisfaction, on the Preferred System Plan (for details see </w:t>
      </w:r>
      <w:r w:rsidR="007727F9">
        <w:t>TBD section</w:t>
      </w:r>
      <w:r>
        <w:t>, Standard of Review for LSE Plans).</w:t>
      </w:r>
    </w:p>
    <w:p w14:paraId="28B85A90" w14:textId="473AB7AE" w:rsidR="004544E9" w:rsidRDefault="004544E9" w:rsidP="004544E9">
      <w:r>
        <w:t xml:space="preserve">In this IRP cycle, there is insufficient time to complete Reference System Plan production cost modeling and have results vetted with stakeholders prior to the expected Reference System Plan adoption at the end of 2017 as formal guidance to LSEs for developing individual LSE Plans (the Preferred Plans). Instead staff will complete and vet the production cost modeling results with stakeholders in Q1 of 2018, in parallel with the LSEs developing their Preferred Plans. This parallelization of processes may be </w:t>
      </w:r>
      <w:r>
        <w:lastRenderedPageBreak/>
        <w:t>advantageous because it permits incorporation of the 2017 IEPR demand forecast. Staff views this staging of processes as the most efficient way to accomplish the necessary modeling within the tight schedule of this IRP cycle.</w:t>
      </w:r>
    </w:p>
    <w:p w14:paraId="43770E9E" w14:textId="0FE2B975" w:rsidR="004544E9" w:rsidRDefault="004544E9" w:rsidP="004544E9">
      <w:r>
        <w:t>As staff is responsible for providing marginal ELCCs to inform LSE Preferred Plan development, this specific deliverable must be completed by early 2018 in order to be useful to LSEs. This may not be possible if Reference System Plan production cost modeling and results are being vetted with stakeholders in Q1 of 2018. As an interim solution for this IRP cycle, staff will provide marginal ELCCs derived from the RESOLVE model so that LSEs can proceed with developing their Preferred Plans without waiting for the</w:t>
      </w:r>
      <w:r w:rsidR="007C1C05">
        <w:t xml:space="preserve"> SERVM</w:t>
      </w:r>
      <w:r>
        <w:t xml:space="preserve"> production cost modeling-based marginal ELCCs.</w:t>
      </w:r>
    </w:p>
    <w:p w14:paraId="194F3A2E" w14:textId="48E99DCE" w:rsidR="00F73E4F" w:rsidRDefault="00F73E4F" w:rsidP="00452730">
      <w:pPr>
        <w:pStyle w:val="Heading1"/>
        <w:numPr>
          <w:ilvl w:val="0"/>
          <w:numId w:val="174"/>
        </w:numPr>
      </w:pPr>
      <w:bookmarkStart w:id="2" w:name="_Toc477967310"/>
      <w:bookmarkStart w:id="3" w:name="_Toc479345942"/>
      <w:bookmarkStart w:id="4" w:name="_Toc480816278"/>
      <w:bookmarkStart w:id="5" w:name="_Toc482365968"/>
      <w:bookmarkEnd w:id="0"/>
      <w:r>
        <w:t>Standard of Review for LSE Plans</w:t>
      </w:r>
      <w:bookmarkEnd w:id="2"/>
      <w:bookmarkEnd w:id="3"/>
      <w:bookmarkEnd w:id="4"/>
      <w:bookmarkEnd w:id="5"/>
    </w:p>
    <w:p w14:paraId="73877935" w14:textId="7C73849F" w:rsidR="00E1654D" w:rsidRDefault="00E1654D" w:rsidP="00452730">
      <w:pPr>
        <w:pStyle w:val="Heading2"/>
      </w:pPr>
      <w:r w:rsidRPr="001257E5">
        <w:t xml:space="preserve">Alternative </w:t>
      </w:r>
      <w:r>
        <w:t>LSE Plans</w:t>
      </w:r>
    </w:p>
    <w:p w14:paraId="09110C47" w14:textId="489AE083" w:rsidR="00E1654D" w:rsidRDefault="00F73E4F" w:rsidP="00F73E4F">
      <w:r>
        <w:t xml:space="preserve">For Alternative </w:t>
      </w:r>
      <w:r w:rsidR="00B46EA2">
        <w:t>Plans</w:t>
      </w:r>
      <w:r>
        <w:t>,</w:t>
      </w:r>
      <w:r w:rsidR="00D95C42">
        <w:t xml:space="preserve"> staff proposes that</w:t>
      </w:r>
      <w:r>
        <w:t xml:space="preserve"> the review process consist of verifying the LSE’s eligibility to file an Alternative </w:t>
      </w:r>
      <w:r w:rsidR="00B46EA2">
        <w:t xml:space="preserve">Plan </w:t>
      </w:r>
      <w:r>
        <w:t>and that the submitted IRP meets the relevant requirements</w:t>
      </w:r>
      <w:r w:rsidR="00E1654D">
        <w:t>.</w:t>
      </w:r>
    </w:p>
    <w:p w14:paraId="12BCE41A" w14:textId="065F89CE" w:rsidR="00E1654D" w:rsidRDefault="00E1654D" w:rsidP="00452730">
      <w:pPr>
        <w:pStyle w:val="Heading2"/>
      </w:pPr>
      <w:r>
        <w:t>Standard</w:t>
      </w:r>
      <w:r w:rsidRPr="001257E5">
        <w:t xml:space="preserve"> </w:t>
      </w:r>
      <w:r>
        <w:t>LSE Plans</w:t>
      </w:r>
    </w:p>
    <w:p w14:paraId="7CFF62A6" w14:textId="57D58C0B" w:rsidR="00F73E4F" w:rsidRDefault="00F73E4F" w:rsidP="00F73E4F">
      <w:r>
        <w:t xml:space="preserve">For Standard </w:t>
      </w:r>
      <w:r w:rsidR="00B46EA2">
        <w:t>Plans</w:t>
      </w:r>
      <w:r>
        <w:t xml:space="preserve">, </w:t>
      </w:r>
      <w:r w:rsidR="001B0E80">
        <w:t xml:space="preserve">Energy Division </w:t>
      </w:r>
      <w:r>
        <w:t>staff</w:t>
      </w:r>
      <w:r w:rsidR="001B0E80">
        <w:t>, including the Energy Resource Modeling group,</w:t>
      </w:r>
      <w:r>
        <w:t xml:space="preserve"> </w:t>
      </w:r>
      <w:r w:rsidR="00D36F64">
        <w:t xml:space="preserve">will </w:t>
      </w:r>
      <w:r>
        <w:t>review each LSE Plan both individually and in aggregate</w:t>
      </w:r>
      <w:r w:rsidR="007A6D8A">
        <w:t>, as described in the steps below</w:t>
      </w:r>
      <w:r>
        <w:t xml:space="preserve">. </w:t>
      </w:r>
    </w:p>
    <w:p w14:paraId="2F92819C" w14:textId="77777777" w:rsidR="007A6D8A" w:rsidRDefault="007A6D8A" w:rsidP="00CE5464">
      <w:pPr>
        <w:pStyle w:val="ListParagraph"/>
        <w:numPr>
          <w:ilvl w:val="0"/>
          <w:numId w:val="148"/>
        </w:numPr>
        <w:spacing w:after="120"/>
        <w:contextualSpacing w:val="0"/>
      </w:pPr>
      <w:r>
        <w:t>Verify a</w:t>
      </w:r>
      <w:r w:rsidRPr="00AE4438">
        <w:t>ll required sections are present, and each section includes all required components, as itemized above under General Requirements and Technical Requirements.</w:t>
      </w:r>
    </w:p>
    <w:p w14:paraId="058DB080" w14:textId="0A078A7F" w:rsidR="00004DB9" w:rsidRDefault="007A6D8A" w:rsidP="002A3CF4">
      <w:pPr>
        <w:pStyle w:val="ListParagraph"/>
        <w:numPr>
          <w:ilvl w:val="0"/>
          <w:numId w:val="148"/>
        </w:numPr>
        <w:spacing w:after="120"/>
        <w:contextualSpacing w:val="0"/>
      </w:pPr>
      <w:r>
        <w:t>Verify all required types of data are provided and data meets the format requirements, as described above in the Data section listed under General Requirements.</w:t>
      </w:r>
      <w:r w:rsidR="004544E9">
        <w:t xml:space="preserve">  </w:t>
      </w:r>
    </w:p>
    <w:p w14:paraId="15F3FCCC" w14:textId="6E8C3E26" w:rsidR="009D2191" w:rsidRDefault="009D2191" w:rsidP="009D2191">
      <w:pPr>
        <w:spacing w:after="120"/>
      </w:pPr>
      <w:bookmarkStart w:id="6" w:name="_Toc477967311"/>
      <w:bookmarkStart w:id="7" w:name="_Toc479345943"/>
      <w:bookmarkStart w:id="8" w:name="_Toc480816279"/>
      <w:bookmarkStart w:id="9" w:name="_Toc482365969"/>
      <w:r>
        <w:t xml:space="preserve">Second, staff will conduct a substantive review of LSE Plans following the standards and framework described </w:t>
      </w:r>
      <w:r w:rsidR="00954F6B">
        <w:t>below</w:t>
      </w:r>
      <w:r>
        <w:t>. The review includes a series of production cost modeling steps</w:t>
      </w:r>
      <w:r w:rsidR="00954F6B">
        <w:t xml:space="preserve"> which are</w:t>
      </w:r>
      <w:r>
        <w:t xml:space="preserve"> detailed in the subsequent subsection.</w:t>
      </w:r>
    </w:p>
    <w:p w14:paraId="4C35EC69" w14:textId="4F09B7C4" w:rsidR="009D2191" w:rsidRDefault="009D2191" w:rsidP="009D2191">
      <w:pPr>
        <w:pStyle w:val="ListParagraph"/>
        <w:numPr>
          <w:ilvl w:val="0"/>
          <w:numId w:val="167"/>
        </w:numPr>
        <w:spacing w:after="120"/>
      </w:pPr>
      <w:r>
        <w:t xml:space="preserve">The Commission </w:t>
      </w:r>
      <w:r w:rsidR="00954F6B">
        <w:t>anticipates that some circumstances would</w:t>
      </w:r>
      <w:r>
        <w:t xml:space="preserve"> require it to intervene and direct an LSE to amend its plan. Three potential circumstances are:</w:t>
      </w:r>
    </w:p>
    <w:p w14:paraId="4BBB4ADD" w14:textId="77777777" w:rsidR="009D2191" w:rsidRDefault="009D2191" w:rsidP="009D2191">
      <w:pPr>
        <w:pStyle w:val="ListParagraph"/>
        <w:numPr>
          <w:ilvl w:val="1"/>
          <w:numId w:val="167"/>
        </w:numPr>
        <w:spacing w:after="120"/>
      </w:pPr>
      <w:r>
        <w:t>An</w:t>
      </w:r>
      <w:r w:rsidRPr="00C82D73">
        <w:t xml:space="preserve"> electrical corporation</w:t>
      </w:r>
      <w:r>
        <w:t>’s (IOU’s) plan</w:t>
      </w:r>
      <w:r w:rsidRPr="00C82D73">
        <w:t xml:space="preserve"> </w:t>
      </w:r>
      <w:r>
        <w:t xml:space="preserve">does not demonstrate a sufficient </w:t>
      </w:r>
      <w:r w:rsidRPr="00C82D73">
        <w:t xml:space="preserve">strategy for procuring best-fit and least-cost resources to satisfy the portfolio needs identified by the </w:t>
      </w:r>
      <w:r>
        <w:t>C</w:t>
      </w:r>
      <w:r w:rsidRPr="00C82D73">
        <w:t>ommission</w:t>
      </w:r>
      <w:r>
        <w:t xml:space="preserve"> or that its customers will be served with just and reasonable rates</w:t>
      </w:r>
    </w:p>
    <w:p w14:paraId="6B33EE81" w14:textId="77777777" w:rsidR="009D2191" w:rsidRDefault="009D2191" w:rsidP="009D2191">
      <w:pPr>
        <w:pStyle w:val="ListParagraph"/>
        <w:numPr>
          <w:ilvl w:val="1"/>
          <w:numId w:val="167"/>
        </w:numPr>
        <w:spacing w:after="120"/>
      </w:pPr>
      <w:r>
        <w:t>An LSE’s plan does not satisfy pre-determined requirements (paraphrased from PU Code Section 454.52(a)(1))</w:t>
      </w:r>
    </w:p>
    <w:p w14:paraId="4251AC1F" w14:textId="77777777" w:rsidR="009D2191" w:rsidRDefault="009D2191" w:rsidP="009D2191">
      <w:pPr>
        <w:pStyle w:val="ListParagraph"/>
        <w:numPr>
          <w:ilvl w:val="2"/>
          <w:numId w:val="167"/>
        </w:numPr>
        <w:spacing w:after="120"/>
      </w:pPr>
      <w:r>
        <w:lastRenderedPageBreak/>
        <w:t>Meet GHG reduction targets established by CARB</w:t>
      </w:r>
    </w:p>
    <w:p w14:paraId="5244F242" w14:textId="5ADA5D0F" w:rsidR="009D2191" w:rsidRDefault="009D2191" w:rsidP="009D2191">
      <w:pPr>
        <w:pStyle w:val="ListParagraph"/>
        <w:numPr>
          <w:ilvl w:val="2"/>
          <w:numId w:val="167"/>
        </w:numPr>
        <w:spacing w:after="120"/>
      </w:pPr>
      <w:r>
        <w:t xml:space="preserve">Achieve </w:t>
      </w:r>
      <w:r w:rsidR="00954F6B">
        <w:t>the</w:t>
      </w:r>
      <w:r>
        <w:t xml:space="preserve"> RPS</w:t>
      </w:r>
      <w:r w:rsidR="00954F6B">
        <w:t xml:space="preserve"> program’s renewable generation target</w:t>
      </w:r>
      <w:r w:rsidR="00954F6B">
        <w:rPr>
          <w:rStyle w:val="FootnoteReference"/>
        </w:rPr>
        <w:footnoteReference w:id="6"/>
      </w:r>
    </w:p>
    <w:p w14:paraId="3A0EB561" w14:textId="77777777" w:rsidR="009D2191" w:rsidRDefault="009D2191" w:rsidP="009D2191">
      <w:pPr>
        <w:pStyle w:val="ListParagraph"/>
        <w:numPr>
          <w:ilvl w:val="2"/>
          <w:numId w:val="167"/>
        </w:numPr>
        <w:spacing w:after="120"/>
      </w:pPr>
      <w:r>
        <w:t>Minimize impacts on ratepayers’ bills</w:t>
      </w:r>
    </w:p>
    <w:p w14:paraId="61511730" w14:textId="77777777" w:rsidR="009D2191" w:rsidRDefault="009D2191" w:rsidP="009D2191">
      <w:pPr>
        <w:pStyle w:val="ListParagraph"/>
        <w:numPr>
          <w:ilvl w:val="2"/>
          <w:numId w:val="167"/>
        </w:numPr>
        <w:spacing w:after="120"/>
      </w:pPr>
      <w:r>
        <w:t>Ensure system and local reliability</w:t>
      </w:r>
    </w:p>
    <w:p w14:paraId="7EF37B2E" w14:textId="77777777" w:rsidR="009D2191" w:rsidRDefault="009D2191" w:rsidP="009D2191">
      <w:pPr>
        <w:pStyle w:val="ListParagraph"/>
        <w:numPr>
          <w:ilvl w:val="2"/>
          <w:numId w:val="167"/>
        </w:numPr>
        <w:spacing w:after="120"/>
      </w:pPr>
      <w:r>
        <w:t>Strengthen the bulk transmission and distribution systems, and local communities, and enhance demand-side energy management</w:t>
      </w:r>
    </w:p>
    <w:p w14:paraId="5DC97F62" w14:textId="77777777" w:rsidR="009D2191" w:rsidRDefault="009D2191" w:rsidP="009D2191">
      <w:pPr>
        <w:pStyle w:val="ListParagraph"/>
        <w:numPr>
          <w:ilvl w:val="2"/>
          <w:numId w:val="167"/>
        </w:numPr>
        <w:spacing w:after="120"/>
      </w:pPr>
      <w:r>
        <w:t>Minimize localized air pollutants prioritizing disadvantaged communities</w:t>
      </w:r>
    </w:p>
    <w:p w14:paraId="1628AD31" w14:textId="3E1627EF" w:rsidR="009D2191" w:rsidRDefault="009D2191" w:rsidP="009D2191">
      <w:pPr>
        <w:pStyle w:val="ListParagraph"/>
        <w:numPr>
          <w:ilvl w:val="1"/>
          <w:numId w:val="167"/>
        </w:numPr>
        <w:spacing w:after="120"/>
      </w:pPr>
      <w:r>
        <w:t xml:space="preserve">An LSE’s plan </w:t>
      </w:r>
      <w:r w:rsidR="00E47994">
        <w:t xml:space="preserve">has a substantial likelihood of </w:t>
      </w:r>
      <w:r>
        <w:t>impos</w:t>
      </w:r>
      <w:r w:rsidR="00E47994">
        <w:t>ing</w:t>
      </w:r>
      <w:r>
        <w:t xml:space="preserve"> </w:t>
      </w:r>
      <w:r w:rsidR="00E47994">
        <w:t xml:space="preserve">significant </w:t>
      </w:r>
      <w:r>
        <w:t>costs on other California LSEs</w:t>
      </w:r>
    </w:p>
    <w:p w14:paraId="3188FB6E" w14:textId="2E74FA06" w:rsidR="009D2191" w:rsidRDefault="009D2191" w:rsidP="009D2191">
      <w:pPr>
        <w:pStyle w:val="ListParagraph"/>
        <w:keepNext/>
        <w:numPr>
          <w:ilvl w:val="0"/>
          <w:numId w:val="167"/>
        </w:numPr>
        <w:spacing w:after="120"/>
      </w:pPr>
      <w:r>
        <w:t xml:space="preserve">Staff </w:t>
      </w:r>
      <w:r w:rsidR="009E40F3">
        <w:t xml:space="preserve">will </w:t>
      </w:r>
      <w:r>
        <w:t>evaluate LSE plans for circumstances (a) and (b) either by considering each LSE plan individually or the aggregate of LSE plans as a whole.</w:t>
      </w:r>
    </w:p>
    <w:tbl>
      <w:tblPr>
        <w:tblStyle w:val="TableGrid"/>
        <w:tblW w:w="0" w:type="auto"/>
        <w:tblInd w:w="720" w:type="dxa"/>
        <w:tblLook w:val="04A0" w:firstRow="1" w:lastRow="0" w:firstColumn="1" w:lastColumn="0" w:noHBand="0" w:noVBand="1"/>
      </w:tblPr>
      <w:tblGrid>
        <w:gridCol w:w="828"/>
        <w:gridCol w:w="8028"/>
      </w:tblGrid>
      <w:tr w:rsidR="009D2191" w14:paraId="35D2F7A5" w14:textId="77777777" w:rsidTr="004B3A73">
        <w:tc>
          <w:tcPr>
            <w:tcW w:w="828" w:type="dxa"/>
          </w:tcPr>
          <w:p w14:paraId="6F228180" w14:textId="77777777" w:rsidR="009D2191" w:rsidRDefault="009D2191" w:rsidP="004B3A73">
            <w:pPr>
              <w:pStyle w:val="ListParagraph"/>
              <w:keepNext/>
              <w:spacing w:after="120"/>
              <w:ind w:left="0"/>
            </w:pPr>
            <w:r>
              <w:t>(a)</w:t>
            </w:r>
          </w:p>
        </w:tc>
        <w:tc>
          <w:tcPr>
            <w:tcW w:w="8028" w:type="dxa"/>
          </w:tcPr>
          <w:p w14:paraId="19CF03D6" w14:textId="77777777" w:rsidR="009D2191" w:rsidRDefault="009D2191" w:rsidP="004B3A73">
            <w:pPr>
              <w:pStyle w:val="ListParagraph"/>
              <w:keepNext/>
              <w:spacing w:after="120"/>
              <w:ind w:left="0"/>
            </w:pPr>
            <w:r>
              <w:t>Evaluate if an IOU’s plan deviates from the Reference System Plan and if so, determine if the IOU has sufficiently justified the deviation.</w:t>
            </w:r>
          </w:p>
        </w:tc>
      </w:tr>
      <w:tr w:rsidR="009D2191" w14:paraId="7899F2FA" w14:textId="77777777" w:rsidTr="004B3A73">
        <w:tc>
          <w:tcPr>
            <w:tcW w:w="828" w:type="dxa"/>
          </w:tcPr>
          <w:p w14:paraId="797332AE" w14:textId="77777777" w:rsidR="009D2191" w:rsidRDefault="009D2191" w:rsidP="004B3A73">
            <w:pPr>
              <w:pStyle w:val="ListParagraph"/>
              <w:keepNext/>
              <w:spacing w:after="120"/>
              <w:ind w:left="0"/>
            </w:pPr>
            <w:r>
              <w:t>(b)(i)</w:t>
            </w:r>
          </w:p>
        </w:tc>
        <w:tc>
          <w:tcPr>
            <w:tcW w:w="8028" w:type="dxa"/>
          </w:tcPr>
          <w:p w14:paraId="536C30D3" w14:textId="55BD1E13" w:rsidR="009D2191" w:rsidRDefault="009D2191" w:rsidP="009E40F3">
            <w:pPr>
              <w:pStyle w:val="ListParagraph"/>
              <w:keepNext/>
              <w:spacing w:after="120"/>
              <w:ind w:left="0"/>
            </w:pPr>
            <w:r>
              <w:t xml:space="preserve">Measure the total emissions of the Preferred System Plan with production cost modeling. </w:t>
            </w:r>
          </w:p>
        </w:tc>
      </w:tr>
      <w:tr w:rsidR="009D2191" w14:paraId="44671273" w14:textId="77777777" w:rsidTr="004B3A73">
        <w:tc>
          <w:tcPr>
            <w:tcW w:w="828" w:type="dxa"/>
          </w:tcPr>
          <w:p w14:paraId="450B6957" w14:textId="77777777" w:rsidR="009D2191" w:rsidRDefault="009D2191" w:rsidP="004B3A73">
            <w:pPr>
              <w:pStyle w:val="ListParagraph"/>
              <w:keepNext/>
              <w:spacing w:after="120"/>
              <w:ind w:left="0"/>
            </w:pPr>
            <w:r>
              <w:t>(b)(ii)</w:t>
            </w:r>
          </w:p>
        </w:tc>
        <w:tc>
          <w:tcPr>
            <w:tcW w:w="8028" w:type="dxa"/>
          </w:tcPr>
          <w:p w14:paraId="61D5067F" w14:textId="385FD798" w:rsidR="009D2191" w:rsidRDefault="009D2191" w:rsidP="004B3A73">
            <w:pPr>
              <w:pStyle w:val="ListParagraph"/>
              <w:keepNext/>
              <w:spacing w:after="120"/>
              <w:ind w:left="0"/>
            </w:pPr>
            <w:r>
              <w:t>Measure the total renewable generation of the Preferred System Plan with production cost modeling. Review an LSE’s demonstration of how its plan aligns or deviates from its RPS plan.</w:t>
            </w:r>
          </w:p>
        </w:tc>
      </w:tr>
      <w:tr w:rsidR="009D2191" w14:paraId="0090322E" w14:textId="77777777" w:rsidTr="004B3A73">
        <w:tc>
          <w:tcPr>
            <w:tcW w:w="828" w:type="dxa"/>
          </w:tcPr>
          <w:p w14:paraId="413B973A" w14:textId="77777777" w:rsidR="009D2191" w:rsidRDefault="009D2191" w:rsidP="004B3A73">
            <w:pPr>
              <w:pStyle w:val="ListParagraph"/>
              <w:keepNext/>
              <w:spacing w:after="120"/>
              <w:ind w:left="0"/>
            </w:pPr>
            <w:r>
              <w:t>(b)(iii)</w:t>
            </w:r>
          </w:p>
        </w:tc>
        <w:tc>
          <w:tcPr>
            <w:tcW w:w="8028" w:type="dxa"/>
          </w:tcPr>
          <w:p w14:paraId="2625508F" w14:textId="77777777" w:rsidR="009D2191" w:rsidRDefault="009D2191" w:rsidP="004B3A73">
            <w:pPr>
              <w:pStyle w:val="ListParagraph"/>
              <w:keepNext/>
              <w:spacing w:after="120"/>
              <w:ind w:left="0"/>
            </w:pPr>
            <w:r>
              <w:t>Review an LSE’s cost impact analysis on its own ratepayers.</w:t>
            </w:r>
          </w:p>
        </w:tc>
      </w:tr>
      <w:tr w:rsidR="009D2191" w14:paraId="796D8838" w14:textId="77777777" w:rsidTr="004B3A73">
        <w:tc>
          <w:tcPr>
            <w:tcW w:w="828" w:type="dxa"/>
          </w:tcPr>
          <w:p w14:paraId="36E1B2FA" w14:textId="77777777" w:rsidR="009D2191" w:rsidRDefault="009D2191" w:rsidP="004B3A73">
            <w:pPr>
              <w:pStyle w:val="ListParagraph"/>
              <w:keepNext/>
              <w:spacing w:after="120"/>
              <w:ind w:left="0"/>
            </w:pPr>
            <w:r>
              <w:t>(b)(iv)</w:t>
            </w:r>
          </w:p>
        </w:tc>
        <w:tc>
          <w:tcPr>
            <w:tcW w:w="8028" w:type="dxa"/>
          </w:tcPr>
          <w:p w14:paraId="0B9BF75E" w14:textId="2B916346" w:rsidR="009D2191" w:rsidRDefault="009D2191" w:rsidP="004B3A73">
            <w:pPr>
              <w:pStyle w:val="ListParagraph"/>
              <w:keepNext/>
              <w:spacing w:after="120"/>
              <w:ind w:left="0"/>
            </w:pPr>
            <w:r>
              <w:t>Measure the Preferred System Plan reserve margin. Review an LSE’s assessment of how it will meet the local capacity needs projected in the most recent CAISO Transmission Plan.</w:t>
            </w:r>
          </w:p>
        </w:tc>
      </w:tr>
      <w:tr w:rsidR="009D2191" w14:paraId="331CDC89" w14:textId="77777777" w:rsidTr="004B3A73">
        <w:tc>
          <w:tcPr>
            <w:tcW w:w="828" w:type="dxa"/>
          </w:tcPr>
          <w:p w14:paraId="7A0FB996" w14:textId="77777777" w:rsidR="009D2191" w:rsidRDefault="009D2191" w:rsidP="004B3A73">
            <w:pPr>
              <w:pStyle w:val="ListParagraph"/>
              <w:keepNext/>
              <w:spacing w:after="120"/>
              <w:ind w:left="0"/>
            </w:pPr>
            <w:r>
              <w:t>(b)(v)</w:t>
            </w:r>
          </w:p>
        </w:tc>
        <w:tc>
          <w:tcPr>
            <w:tcW w:w="8028" w:type="dxa"/>
          </w:tcPr>
          <w:p w14:paraId="484FA940" w14:textId="77777777" w:rsidR="009D2191" w:rsidRDefault="009D2191" w:rsidP="004B3A73">
            <w:pPr>
              <w:pStyle w:val="ListParagraph"/>
              <w:keepNext/>
              <w:spacing w:after="120"/>
              <w:ind w:left="0"/>
            </w:pPr>
            <w:r>
              <w:t>Review an LSE’s assessment of how it will meet these requirements.</w:t>
            </w:r>
          </w:p>
        </w:tc>
      </w:tr>
      <w:tr w:rsidR="009D2191" w14:paraId="01975391" w14:textId="77777777" w:rsidTr="004B3A73">
        <w:tc>
          <w:tcPr>
            <w:tcW w:w="828" w:type="dxa"/>
          </w:tcPr>
          <w:p w14:paraId="754536E7" w14:textId="77777777" w:rsidR="009D2191" w:rsidRDefault="009D2191" w:rsidP="004B3A73">
            <w:pPr>
              <w:pStyle w:val="ListParagraph"/>
              <w:keepNext/>
              <w:spacing w:after="120"/>
              <w:ind w:left="0"/>
            </w:pPr>
            <w:r>
              <w:t>(b)(vi)</w:t>
            </w:r>
          </w:p>
        </w:tc>
        <w:tc>
          <w:tcPr>
            <w:tcW w:w="8028" w:type="dxa"/>
          </w:tcPr>
          <w:p w14:paraId="7B583287" w14:textId="77777777" w:rsidR="009D2191" w:rsidRDefault="009D2191" w:rsidP="004B3A73">
            <w:pPr>
              <w:pStyle w:val="ListParagraph"/>
              <w:keepNext/>
              <w:spacing w:after="120"/>
              <w:ind w:left="0"/>
            </w:pPr>
            <w:r>
              <w:t>Review an LSE’s quantitative evidence of how its plan satisfies statutory requirements regarding disadvantaged communities.</w:t>
            </w:r>
          </w:p>
        </w:tc>
      </w:tr>
    </w:tbl>
    <w:p w14:paraId="256D9228" w14:textId="77777777" w:rsidR="009D2191" w:rsidRDefault="009D2191" w:rsidP="009D2191">
      <w:pPr>
        <w:pStyle w:val="ListParagraph"/>
        <w:spacing w:after="120"/>
      </w:pPr>
    </w:p>
    <w:p w14:paraId="778CD003" w14:textId="35DB40E9" w:rsidR="009D2191" w:rsidRDefault="009D2191" w:rsidP="009D2191">
      <w:pPr>
        <w:pStyle w:val="ListParagraph"/>
        <w:numPr>
          <w:ilvl w:val="0"/>
          <w:numId w:val="167"/>
        </w:numPr>
        <w:spacing w:after="120"/>
      </w:pPr>
      <w:r>
        <w:t>In circumstance (c), staff must consider interactions among LSE plans because (c) indicates an “externality” is present, i.e. a situation where current market rules might not result in appropriate valuation of necessary resource attributes. If an externality is large enough, Commission intervention may be justified, e.g. to mitigate the</w:t>
      </w:r>
      <w:r w:rsidR="00E47994">
        <w:t xml:space="preserve"> likelihood of significant</w:t>
      </w:r>
      <w:r>
        <w:t xml:space="preserve"> imposition of costs from one LSE onto others. As stated in Chapter 4 of the May 16, 2017 Staff Proposal on Process for IRP, the CPUC should be guided by the principle of market efficiency:</w:t>
      </w:r>
    </w:p>
    <w:p w14:paraId="7014F35E" w14:textId="77777777" w:rsidR="009D2191" w:rsidRDefault="009D2191" w:rsidP="009D2191">
      <w:pPr>
        <w:pStyle w:val="ListParagraph"/>
        <w:numPr>
          <w:ilvl w:val="1"/>
          <w:numId w:val="167"/>
        </w:numPr>
        <w:spacing w:after="120"/>
      </w:pPr>
      <w:r>
        <w:t>To the extent that the market can be reasonably expected to produce the desired outcome, there would be no reason for the CPUC to intervene.</w:t>
      </w:r>
    </w:p>
    <w:p w14:paraId="6EC9515C" w14:textId="77777777" w:rsidR="009D2191" w:rsidRDefault="009D2191" w:rsidP="009D2191">
      <w:pPr>
        <w:pStyle w:val="ListParagraph"/>
        <w:numPr>
          <w:ilvl w:val="1"/>
          <w:numId w:val="167"/>
        </w:numPr>
        <w:spacing w:after="120"/>
      </w:pPr>
      <w:r>
        <w:lastRenderedPageBreak/>
        <w:t>To the extent that there are material barriers to market solutions for any relevant market actors, the CPUC would act to address market deficiencies.</w:t>
      </w:r>
    </w:p>
    <w:p w14:paraId="3C432C23" w14:textId="7D817BD8" w:rsidR="009D2191" w:rsidRDefault="00E47994" w:rsidP="009D2191">
      <w:pPr>
        <w:pStyle w:val="ListParagraph"/>
        <w:spacing w:after="120"/>
      </w:pPr>
      <w:r>
        <w:t xml:space="preserve">In the absence </w:t>
      </w:r>
      <w:r w:rsidR="009D2191">
        <w:t xml:space="preserve">of a significant unaddressed externality, LSEs </w:t>
      </w:r>
      <w:r w:rsidR="0022303F">
        <w:t>bear all</w:t>
      </w:r>
      <w:r>
        <w:t xml:space="preserve"> the costs of their own decisions </w:t>
      </w:r>
      <w:r w:rsidR="009D2191">
        <w:t>and no further Commission intervention is required.</w:t>
      </w:r>
    </w:p>
    <w:p w14:paraId="7800FBF9" w14:textId="3C2F48C5" w:rsidR="009D2191" w:rsidRDefault="009D2191" w:rsidP="009D2191">
      <w:pPr>
        <w:pStyle w:val="ListParagraph"/>
        <w:numPr>
          <w:ilvl w:val="0"/>
          <w:numId w:val="167"/>
        </w:numPr>
        <w:spacing w:after="120"/>
      </w:pPr>
      <w:r>
        <w:t xml:space="preserve">To determine whether </w:t>
      </w:r>
      <w:r w:rsidR="009E40F3">
        <w:t xml:space="preserve">a significant </w:t>
      </w:r>
      <w:r>
        <w:t>externality is present and requires Commission intervention, the Commission must first define each specific potential externality.</w:t>
      </w:r>
    </w:p>
    <w:p w14:paraId="58CF87AD" w14:textId="413D192D" w:rsidR="009D2191" w:rsidRDefault="009D2191" w:rsidP="009D2191">
      <w:pPr>
        <w:pStyle w:val="ListParagraph"/>
        <w:numPr>
          <w:ilvl w:val="1"/>
          <w:numId w:val="167"/>
        </w:numPr>
        <w:spacing w:after="120"/>
      </w:pPr>
      <w:r>
        <w:t>In general, it is expected that the Commission will find few instances of externalities significant enough to justify intervention. The CAISO's multi-stage market is designed to provide the right signal, at the margin, to resources for the value of their energy and capacity. The CAISO continually monitors its market to ensure efficient operation.</w:t>
      </w:r>
    </w:p>
    <w:p w14:paraId="2C94DA3B" w14:textId="644A079D" w:rsidR="009D2191" w:rsidRDefault="009D2191" w:rsidP="009D2191">
      <w:pPr>
        <w:pStyle w:val="ListParagraph"/>
        <w:numPr>
          <w:ilvl w:val="1"/>
          <w:numId w:val="167"/>
        </w:numPr>
        <w:spacing w:after="120"/>
      </w:pPr>
      <w:r>
        <w:t>Ensuring system and local reliability is one example of a potential externality – without appropriate standards or market signals, LSEs might not procure sufficient capacity to ensure reliability, choosing to forego capacity contract costs to rely instead on the market. This is one example where the Commission has already taken action to avoid potential externalities by enforcing system and local reliability standards via the Resource Adequacy and LTPP mechanisms. Going forward the IRP should continue to coordinate with the Resource Adequacy program and retain the mechanisms for ensuring long term reliability from the LTPP and in doing so, the Commission believes no further intervention is required to ensure system and local reliability at this time.</w:t>
      </w:r>
    </w:p>
    <w:p w14:paraId="6584CFDD" w14:textId="04700746" w:rsidR="009D2191" w:rsidRDefault="009D2191" w:rsidP="009D2191">
      <w:pPr>
        <w:pStyle w:val="ListParagraph"/>
        <w:numPr>
          <w:ilvl w:val="1"/>
          <w:numId w:val="167"/>
        </w:numPr>
        <w:spacing w:after="120"/>
      </w:pPr>
      <w:r>
        <w:t>As new externalities arise, the appropriate requirements should be added to the CPUC’s review of LSE plans in future IRP cycles. Examples that may become significant in the future include:</w:t>
      </w:r>
    </w:p>
    <w:p w14:paraId="33274799" w14:textId="77777777" w:rsidR="009D2191" w:rsidRDefault="009D2191" w:rsidP="009D2191">
      <w:pPr>
        <w:pStyle w:val="ListParagraph"/>
        <w:numPr>
          <w:ilvl w:val="2"/>
          <w:numId w:val="167"/>
        </w:numPr>
        <w:spacing w:after="120"/>
      </w:pPr>
      <w:r>
        <w:t>Future reliability products identified and defined by the CAISO</w:t>
      </w:r>
    </w:p>
    <w:p w14:paraId="0CA7D316" w14:textId="2D2EFA35" w:rsidR="009D2191" w:rsidRDefault="009D2191" w:rsidP="004B3A73">
      <w:pPr>
        <w:pStyle w:val="ListParagraph"/>
        <w:numPr>
          <w:ilvl w:val="2"/>
          <w:numId w:val="167"/>
        </w:numPr>
        <w:spacing w:after="120"/>
      </w:pPr>
      <w:r>
        <w:t>Changes or additions to the requirements in the Resource Adequacy program</w:t>
      </w:r>
    </w:p>
    <w:p w14:paraId="09968229" w14:textId="325B8182" w:rsidR="009D2191" w:rsidRDefault="009D2191" w:rsidP="00452730">
      <w:pPr>
        <w:pStyle w:val="Heading1"/>
        <w:numPr>
          <w:ilvl w:val="0"/>
          <w:numId w:val="174"/>
        </w:numPr>
      </w:pPr>
      <w:r>
        <w:t>Preferred System Plan Production Cost Modeling</w:t>
      </w:r>
    </w:p>
    <w:p w14:paraId="6E0C0C60" w14:textId="7BE9DF43" w:rsidR="009D2191" w:rsidRDefault="009D2191" w:rsidP="009D2191">
      <w:r>
        <w:t>This section describes production cost modeling that CPUC staff will conduct to evaluate the Preferred System Plan. The analytical process described here also serves as guidelines for other parties to develop their own production cost modeling based assessment of the Preferred System Plan. To the extent other parties wish to compare their assessments with CPUC staff’s, they should adhere as closely as possible to the assumptions, methods, and conventions used by CPUC staff.</w:t>
      </w:r>
    </w:p>
    <w:p w14:paraId="5F43A287" w14:textId="31B2B117" w:rsidR="009D2191" w:rsidRDefault="009D2191" w:rsidP="009D2191">
      <w:r>
        <w:t>CPUC staff will use the SERVM</w:t>
      </w:r>
      <w:r>
        <w:rPr>
          <w:rStyle w:val="FootnoteReference"/>
        </w:rPr>
        <w:footnoteReference w:id="7"/>
      </w:r>
      <w:r>
        <w:t xml:space="preserve"> production cost model to evaluate operational performance and verify satisfaction of the Planning Reserve Margin</w:t>
      </w:r>
      <w:r>
        <w:rPr>
          <w:rStyle w:val="FootnoteReference"/>
        </w:rPr>
        <w:footnoteReference w:id="8"/>
      </w:r>
      <w:r>
        <w:t xml:space="preserve"> (PRM) requirement. Staff will follow the same modeling </w:t>
      </w:r>
      <w:r>
        <w:lastRenderedPageBreak/>
        <w:t>scope and conventions as will be used to evaluate the Reference System Plan, and will follow a similar set of modeling steps, explained below.</w:t>
      </w:r>
    </w:p>
    <w:p w14:paraId="40BF0536" w14:textId="77777777" w:rsidR="009D2191" w:rsidRPr="000D5959" w:rsidRDefault="009D2191" w:rsidP="00452730">
      <w:pPr>
        <w:pStyle w:val="Heading2"/>
      </w:pPr>
      <w:r>
        <w:t>Modeling Steps (Order of Studies)</w:t>
      </w:r>
    </w:p>
    <w:p w14:paraId="7B37BF3B" w14:textId="4C7058F8" w:rsidR="009D2191" w:rsidRDefault="009D2191" w:rsidP="009D2191">
      <w:r>
        <w:t>The following describes the steps (order of studies) that staff will use for production cost modeling of IRP system plans with the SERVM model. In the steps below, “study” or “studies” means production cost modeling runs. All studies will use the 2017 IEPR demand forecast.</w:t>
      </w:r>
    </w:p>
    <w:p w14:paraId="24B039BD" w14:textId="77777777" w:rsidR="009D2191" w:rsidRDefault="009D2191" w:rsidP="009D2191">
      <w:pPr>
        <w:pStyle w:val="ListParagraph"/>
        <w:numPr>
          <w:ilvl w:val="0"/>
          <w:numId w:val="169"/>
        </w:numPr>
      </w:pPr>
      <w:r>
        <w:t>Aggregate the individual LSE Preferred Plans into the Preferred System Plan SERVM dataset</w:t>
      </w:r>
    </w:p>
    <w:p w14:paraId="17A3D284" w14:textId="22479075" w:rsidR="009D2191" w:rsidRDefault="009D2191" w:rsidP="009D2191">
      <w:pPr>
        <w:pStyle w:val="ListParagraph"/>
        <w:numPr>
          <w:ilvl w:val="1"/>
          <w:numId w:val="169"/>
        </w:numPr>
      </w:pPr>
      <w:r>
        <w:t xml:space="preserve">Map the resources in each individual LSE Plan to resources in the </w:t>
      </w:r>
      <w:r w:rsidR="004928D4">
        <w:t xml:space="preserve">SERVM representation of the </w:t>
      </w:r>
      <w:r>
        <w:t xml:space="preserve">Reference System Plan </w:t>
      </w:r>
      <w:r w:rsidR="004928D4">
        <w:t>and create new LSE resource types in the SERVM dataset as needed</w:t>
      </w:r>
    </w:p>
    <w:p w14:paraId="02CFD70B" w14:textId="01014B9C" w:rsidR="009D2191" w:rsidRDefault="004928D4" w:rsidP="009D2191">
      <w:pPr>
        <w:pStyle w:val="ListParagraph"/>
        <w:numPr>
          <w:ilvl w:val="1"/>
          <w:numId w:val="169"/>
        </w:numPr>
      </w:pPr>
      <w:r>
        <w:t>Organize the SERVM dataset</w:t>
      </w:r>
      <w:r w:rsidR="009D2191">
        <w:t xml:space="preserve"> such that each LSE Plan can be swapped in and out of the Preferred System Plan in an automated fashion</w:t>
      </w:r>
    </w:p>
    <w:p w14:paraId="7A79603D" w14:textId="77777777" w:rsidR="009D2191" w:rsidRDefault="009D2191" w:rsidP="009D2191">
      <w:pPr>
        <w:pStyle w:val="ListParagraph"/>
        <w:numPr>
          <w:ilvl w:val="1"/>
          <w:numId w:val="169"/>
        </w:numPr>
      </w:pPr>
      <w:r>
        <w:t>Post the SERVM dataset representing the Preferred System Plan</w:t>
      </w:r>
    </w:p>
    <w:p w14:paraId="1D6DFA8D" w14:textId="77777777" w:rsidR="009D2191" w:rsidRDefault="009D2191" w:rsidP="009D2191">
      <w:pPr>
        <w:pStyle w:val="ListParagraph"/>
        <w:numPr>
          <w:ilvl w:val="0"/>
          <w:numId w:val="169"/>
        </w:numPr>
      </w:pPr>
      <w:r>
        <w:t>Conduct Preferred System Plan studies for years 2022 and 2030</w:t>
      </w:r>
    </w:p>
    <w:p w14:paraId="1F31BD54" w14:textId="77777777" w:rsidR="009D2191" w:rsidRDefault="009D2191" w:rsidP="009D2191">
      <w:pPr>
        <w:pStyle w:val="ListParagraph"/>
        <w:numPr>
          <w:ilvl w:val="1"/>
          <w:numId w:val="169"/>
        </w:numPr>
      </w:pPr>
      <w:r>
        <w:t>Evaluate operational performance, including quantifying the LOLE level before any calibration (addition or removal of generation)</w:t>
      </w:r>
    </w:p>
    <w:p w14:paraId="52390BA4" w14:textId="7BBA0FB9" w:rsidR="009D2191" w:rsidRDefault="009D2191" w:rsidP="009D2191">
      <w:pPr>
        <w:pStyle w:val="ListParagraph"/>
        <w:numPr>
          <w:ilvl w:val="1"/>
          <w:numId w:val="169"/>
        </w:numPr>
      </w:pPr>
      <w:r>
        <w:t>Compare</w:t>
      </w:r>
      <w:r w:rsidR="004928D4">
        <w:t xml:space="preserve"> and report</w:t>
      </w:r>
      <w:r>
        <w:t xml:space="preserve"> results </w:t>
      </w:r>
      <w:r w:rsidR="00C33606">
        <w:t xml:space="preserve">of step B(1) </w:t>
      </w:r>
      <w:r>
        <w:t xml:space="preserve">with the equivalent </w:t>
      </w:r>
      <w:r w:rsidR="00C33606">
        <w:t xml:space="preserve">study of operational performance performed </w:t>
      </w:r>
      <w:r>
        <w:t>with the Reference System Plan</w:t>
      </w:r>
    </w:p>
    <w:p w14:paraId="71808165" w14:textId="28C61F19" w:rsidR="009D2191" w:rsidRDefault="009D2191" w:rsidP="009D2191">
      <w:pPr>
        <w:pStyle w:val="ListParagraph"/>
        <w:numPr>
          <w:ilvl w:val="1"/>
          <w:numId w:val="169"/>
        </w:numPr>
      </w:pPr>
      <w:r>
        <w:t>Calibrate the Preferred System Plan to the desired LOLE level for calculating ELCC values, noting the quantity of generation added or removed</w:t>
      </w:r>
      <w:r w:rsidR="00C33606">
        <w:t xml:space="preserve"> </w:t>
      </w:r>
    </w:p>
    <w:p w14:paraId="69F0F254" w14:textId="4C44EBEE" w:rsidR="009D2191" w:rsidRDefault="009D2191" w:rsidP="009D2191">
      <w:pPr>
        <w:pStyle w:val="ListParagraph"/>
        <w:numPr>
          <w:ilvl w:val="1"/>
          <w:numId w:val="169"/>
        </w:numPr>
      </w:pPr>
      <w:r>
        <w:t>Calculate the average portfolio ELCC of wind and solar (utility-scale + BTM PV)</w:t>
      </w:r>
    </w:p>
    <w:p w14:paraId="5B8D7D45" w14:textId="77777777" w:rsidR="009D2191" w:rsidRDefault="009D2191" w:rsidP="009D2191">
      <w:pPr>
        <w:pStyle w:val="ListParagraph"/>
        <w:numPr>
          <w:ilvl w:val="1"/>
          <w:numId w:val="169"/>
        </w:numPr>
      </w:pPr>
      <w:r>
        <w:t>Calculate the reserve margin and</w:t>
      </w:r>
      <w:r w:rsidRPr="00A51CB8">
        <w:t xml:space="preserve"> </w:t>
      </w:r>
      <w:r>
        <w:t>verify satisfaction of the PRM system reliability requirement</w:t>
      </w:r>
    </w:p>
    <w:p w14:paraId="5E0BAA77" w14:textId="77777777" w:rsidR="009D2191" w:rsidRDefault="009D2191" w:rsidP="009D2191">
      <w:pPr>
        <w:pStyle w:val="ListParagraph"/>
        <w:numPr>
          <w:ilvl w:val="0"/>
          <w:numId w:val="169"/>
        </w:numPr>
      </w:pPr>
      <w:r>
        <w:t>Quantify any shortfall in satisfying the PRM system reliability requirement and allocate proportionate responsibility to the LSEs</w:t>
      </w:r>
    </w:p>
    <w:p w14:paraId="00976E60" w14:textId="4CB16CAA" w:rsidR="009D2191" w:rsidRDefault="009D2191" w:rsidP="009D2191">
      <w:r>
        <w:t>In the aggregation (A1) step, the process must ensure that no resources are double-counted or under-counted, and that the aggregate of new resources selected by LSEs does not exceed the available resource potential. This step may require staff to make additional data requests to LSEs to resolve any issues. The resources of each LSE Plan in the SERVM dataset must be organized in such a way that permits systematic sequential studies of the Preferred System Plan with an LSE Plan included or excluded. This provides a mechanism to isolate the effects of an individual LSE Plan on the operational performance of the Preferred System Plan, should such an analysis be necessary.</w:t>
      </w:r>
    </w:p>
    <w:p w14:paraId="4C7215DE" w14:textId="1A3D3C82" w:rsidR="009D2191" w:rsidRDefault="009D2191" w:rsidP="009D2191">
      <w:r>
        <w:t xml:space="preserve">In the evaluation of operational performance (B1) step, staff will be reporting the key metric of GHG emissions. Total CAISO balancing area annual emissions will be the primary measure of whether the </w:t>
      </w:r>
      <w:r w:rsidR="007E24AE">
        <w:t xml:space="preserve">Preferred </w:t>
      </w:r>
      <w:r>
        <w:t>System Plan meets emissions requirements. California and WECC-wide emissions can also be reported from the model.</w:t>
      </w:r>
    </w:p>
    <w:p w14:paraId="4FBDB9F1" w14:textId="22836E46" w:rsidR="009D2191" w:rsidRDefault="009D2191" w:rsidP="009D2191">
      <w:r>
        <w:lastRenderedPageBreak/>
        <w:t xml:space="preserve">In the calibration (B3) step, </w:t>
      </w:r>
      <w:r w:rsidR="00831C2E">
        <w:t>if</w:t>
      </w:r>
      <w:r>
        <w:t xml:space="preserve"> generation had to be added, the quantity added would be noted, however, the analysis actually determining whether any system reliability-driven additional procurement is necessary is</w:t>
      </w:r>
      <w:r w:rsidRPr="00957FDE">
        <w:t xml:space="preserve"> </w:t>
      </w:r>
      <w:r>
        <w:t>step B5, the reserve margin calculation and verification of PRM satisfaction.</w:t>
      </w:r>
    </w:p>
    <w:p w14:paraId="3C93451E" w14:textId="0F26A33C" w:rsidR="009D2191" w:rsidRDefault="009D2191" w:rsidP="009D2191">
      <w:r>
        <w:t>If step C is necessary then staff would quantify the shortfall in MW of qualifying capacity and allocate proportionate responsibility to the LSEs. Two options for allocating responsibility are as follows:</w:t>
      </w:r>
    </w:p>
    <w:p w14:paraId="78CF5F52" w14:textId="3D48062B" w:rsidR="009D2191" w:rsidRDefault="009D2191" w:rsidP="009D2191">
      <w:pPr>
        <w:ind w:left="720"/>
      </w:pPr>
      <w:r>
        <w:t xml:space="preserve">Option A: Allocate </w:t>
      </w:r>
      <w:r w:rsidR="00C33606">
        <w:t xml:space="preserve">procurement </w:t>
      </w:r>
      <w:r>
        <w:t xml:space="preserve">responsibility proportionally by </w:t>
      </w:r>
      <w:r w:rsidR="00C33606">
        <w:t xml:space="preserve">each LSE’s </w:t>
      </w:r>
      <w:r>
        <w:t>ratio</w:t>
      </w:r>
      <w:r w:rsidR="00C33606">
        <w:t xml:space="preserve"> of their peak load to total CAISO peak load</w:t>
      </w:r>
      <w:r>
        <w:t xml:space="preserve"> to procure GHG-free resources that in aggregate would provide the equivalent qualifying capacity.</w:t>
      </w:r>
    </w:p>
    <w:p w14:paraId="7D93D5FA" w14:textId="59CBD2CF" w:rsidR="009D2191" w:rsidRDefault="009D2191" w:rsidP="00452730">
      <w:pPr>
        <w:ind w:left="720"/>
      </w:pPr>
      <w:r>
        <w:t>Option B: Direct the IOUs to procure GHG-free resources that in aggregate would provide the equivalent qualifying capacity. The Cost Allocation Mechanism will distribute the cost of this procurement to all benefiting LSEs.</w:t>
      </w:r>
      <w:r w:rsidR="009450CE">
        <w:rPr>
          <w:rStyle w:val="FootnoteReference"/>
        </w:rPr>
        <w:footnoteReference w:id="9"/>
      </w:r>
      <w:r w:rsidR="009450CE">
        <w:t xml:space="preserve"> </w:t>
      </w:r>
      <w:r w:rsidR="009450CE" w:rsidRPr="00F540CF">
        <w:t xml:space="preserve">To the extent that additional procurement is authorized for </w:t>
      </w:r>
      <w:r w:rsidR="009450CE">
        <w:t>an</w:t>
      </w:r>
      <w:r w:rsidR="009450CE" w:rsidRPr="00F540CF">
        <w:t xml:space="preserve"> </w:t>
      </w:r>
      <w:r w:rsidR="009450CE">
        <w:t>IOU</w:t>
      </w:r>
      <w:r w:rsidR="009450CE" w:rsidRPr="00F540CF">
        <w:t>, the</w:t>
      </w:r>
      <w:r w:rsidR="009450CE">
        <w:t xml:space="preserve"> Commission</w:t>
      </w:r>
      <w:r w:rsidR="009450CE" w:rsidRPr="00F540CF">
        <w:t xml:space="preserve"> </w:t>
      </w:r>
      <w:r w:rsidR="009450CE">
        <w:t>will</w:t>
      </w:r>
      <w:r w:rsidR="009450CE" w:rsidRPr="00F540CF">
        <w:t xml:space="preserve"> ensure that</w:t>
      </w:r>
      <w:r w:rsidR="009450CE">
        <w:t xml:space="preserve"> the affected</w:t>
      </w:r>
      <w:r w:rsidR="009450CE" w:rsidRPr="00F540CF">
        <w:t xml:space="preserve"> </w:t>
      </w:r>
      <w:r w:rsidR="009450CE">
        <w:t>CCAs</w:t>
      </w:r>
      <w:r w:rsidR="009450CE" w:rsidRPr="00F540CF">
        <w:t xml:space="preserve"> </w:t>
      </w:r>
      <w:r w:rsidR="009450CE">
        <w:t xml:space="preserve">are given an opportunity to </w:t>
      </w:r>
      <w:r w:rsidR="009450CE" w:rsidRPr="004C4C3D">
        <w:t>submit proposals for satisfying their portion of the renewable integration need</w:t>
      </w:r>
      <w:r w:rsidR="009450CE">
        <w:t xml:space="preserve">, </w:t>
      </w:r>
      <w:r w:rsidR="009450CE" w:rsidRPr="00F540CF">
        <w:t>consistent with Section 454.51.</w:t>
      </w:r>
      <w:bookmarkEnd w:id="6"/>
      <w:bookmarkEnd w:id="7"/>
      <w:bookmarkEnd w:id="8"/>
      <w:bookmarkEnd w:id="9"/>
    </w:p>
    <w:sectPr w:rsidR="009D2191" w:rsidSect="001C6C42">
      <w:headerReference w:type="default" r:id="rId9"/>
      <w:footerReference w:type="default" r:id="rId10"/>
      <w:pgSz w:w="12240" w:h="15840"/>
      <w:pgMar w:top="1440" w:right="1440" w:bottom="1440" w:left="1440" w:header="720" w:footer="2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25102" w14:textId="77777777" w:rsidR="00156557" w:rsidRDefault="00156557" w:rsidP="00AF7DF9">
      <w:pPr>
        <w:spacing w:after="0" w:line="240" w:lineRule="auto"/>
      </w:pPr>
      <w:r>
        <w:separator/>
      </w:r>
    </w:p>
    <w:p w14:paraId="6B6AB4E8" w14:textId="77777777" w:rsidR="00156557" w:rsidRDefault="00156557"/>
  </w:endnote>
  <w:endnote w:type="continuationSeparator" w:id="0">
    <w:p w14:paraId="7A098823" w14:textId="77777777" w:rsidR="00156557" w:rsidRDefault="00156557" w:rsidP="00AF7DF9">
      <w:pPr>
        <w:spacing w:after="0" w:line="240" w:lineRule="auto"/>
      </w:pPr>
      <w:r>
        <w:continuationSeparator/>
      </w:r>
    </w:p>
    <w:p w14:paraId="5AB8AF9C" w14:textId="77777777" w:rsidR="00156557" w:rsidRDefault="00156557"/>
  </w:endnote>
  <w:endnote w:type="continuationNotice" w:id="1">
    <w:p w14:paraId="7C4AF592" w14:textId="77777777" w:rsidR="00156557" w:rsidRDefault="00156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2DB9" w14:textId="224817D5" w:rsidR="00481CB5" w:rsidRPr="00AF7DF9" w:rsidRDefault="00481CB5">
    <w:pPr>
      <w:pStyle w:val="Footer"/>
    </w:pPr>
    <w:r>
      <w:tab/>
    </w:r>
    <w:r>
      <w:tab/>
    </w:r>
    <w:r w:rsidRPr="00AF7DF9">
      <w:fldChar w:fldCharType="begin"/>
    </w:r>
    <w:r w:rsidRPr="00AF7DF9">
      <w:instrText xml:space="preserve"> PAGE  \* Arabic  \* MERGEFORMAT </w:instrText>
    </w:r>
    <w:r w:rsidRPr="00AF7DF9">
      <w:fldChar w:fldCharType="separate"/>
    </w:r>
    <w:r w:rsidR="00CD3E13">
      <w:rPr>
        <w:noProof/>
      </w:rPr>
      <w:t>1</w:t>
    </w:r>
    <w:r w:rsidRPr="00AF7DF9">
      <w:fldChar w:fldCharType="end"/>
    </w:r>
  </w:p>
  <w:p w14:paraId="3CE0CAEE" w14:textId="77777777" w:rsidR="00481CB5" w:rsidRDefault="00481C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C16E1" w14:textId="77777777" w:rsidR="00156557" w:rsidRDefault="00156557" w:rsidP="00AF7DF9">
      <w:pPr>
        <w:spacing w:after="0" w:line="240" w:lineRule="auto"/>
      </w:pPr>
      <w:r>
        <w:separator/>
      </w:r>
    </w:p>
    <w:p w14:paraId="7F2677AC" w14:textId="77777777" w:rsidR="00156557" w:rsidRDefault="00156557"/>
  </w:footnote>
  <w:footnote w:type="continuationSeparator" w:id="0">
    <w:p w14:paraId="3CC9A46C" w14:textId="77777777" w:rsidR="00156557" w:rsidRDefault="00156557" w:rsidP="00AF7DF9">
      <w:pPr>
        <w:spacing w:after="0" w:line="240" w:lineRule="auto"/>
      </w:pPr>
      <w:r>
        <w:continuationSeparator/>
      </w:r>
    </w:p>
    <w:p w14:paraId="1EB58507" w14:textId="77777777" w:rsidR="00156557" w:rsidRDefault="00156557"/>
  </w:footnote>
  <w:footnote w:type="continuationNotice" w:id="1">
    <w:p w14:paraId="54B8992F" w14:textId="77777777" w:rsidR="00156557" w:rsidRDefault="00156557">
      <w:pPr>
        <w:spacing w:after="0" w:line="240" w:lineRule="auto"/>
      </w:pPr>
    </w:p>
  </w:footnote>
  <w:footnote w:id="2">
    <w:p w14:paraId="4978A81A" w14:textId="77777777" w:rsidR="00481CB5" w:rsidRDefault="00481CB5" w:rsidP="004544E9">
      <w:pPr>
        <w:pStyle w:val="FootnoteText"/>
      </w:pPr>
      <w:r>
        <w:rPr>
          <w:rStyle w:val="FootnoteReference"/>
        </w:rPr>
        <w:footnoteRef/>
      </w:r>
      <w:r>
        <w:t xml:space="preserve"> Strategic Energy Risk Valuation Model – developed by and commercially licensed through Astrape Consulting</w:t>
      </w:r>
    </w:p>
  </w:footnote>
  <w:footnote w:id="3">
    <w:p w14:paraId="34D5CC15" w14:textId="317D0151" w:rsidR="00481CB5" w:rsidRDefault="00481CB5" w:rsidP="004544E9">
      <w:pPr>
        <w:pStyle w:val="FootnoteText"/>
      </w:pPr>
      <w:r>
        <w:rPr>
          <w:rStyle w:val="FootnoteReference"/>
        </w:rPr>
        <w:footnoteRef/>
      </w:r>
      <w:r>
        <w:t xml:space="preserve"> Refers to the system Resource Adequacy requirement based on each LSE’s peak demand forecast plus a 15% planning reserve margin. See: </w:t>
      </w:r>
      <w:hyperlink r:id="rId1" w:history="1">
        <w:r w:rsidRPr="005A4C70">
          <w:rPr>
            <w:rStyle w:val="Hyperlink"/>
          </w:rPr>
          <w:t>http://www.cpuc.ca.gov/General.aspx?id=6307</w:t>
        </w:r>
      </w:hyperlink>
    </w:p>
  </w:footnote>
  <w:footnote w:id="4">
    <w:p w14:paraId="090304EB" w14:textId="77777777" w:rsidR="00481CB5" w:rsidRDefault="00481CB5" w:rsidP="004544E9">
      <w:pPr>
        <w:pStyle w:val="FootnoteText"/>
      </w:pPr>
      <w:r>
        <w:rPr>
          <w:rStyle w:val="FootnoteReference"/>
        </w:rPr>
        <w:footnoteRef/>
      </w:r>
      <w:r>
        <w:t xml:space="preserve"> The RESOLVE model case representing achievement of a 50% RPS in 2030 and no further procurement driven by firm GHG reduction goals.</w:t>
      </w:r>
    </w:p>
  </w:footnote>
  <w:footnote w:id="5">
    <w:p w14:paraId="37AB9FC3" w14:textId="1FCFCA11" w:rsidR="00481CB5" w:rsidRDefault="00481CB5">
      <w:pPr>
        <w:pStyle w:val="FootnoteText"/>
      </w:pPr>
      <w:r>
        <w:rPr>
          <w:rStyle w:val="FootnoteReference"/>
        </w:rPr>
        <w:footnoteRef/>
      </w:r>
      <w:r>
        <w:t xml:space="preserve"> Note that the Reference System Plan and 50% RPS Default case resource portfolios will not be recreated in RESOLVE based on the 2017 IEPR demand forecast.  Thus only the load and demand-side resources will be updated in the SERVM model to align with the 2017 IEPR.</w:t>
      </w:r>
    </w:p>
  </w:footnote>
  <w:footnote w:id="6">
    <w:p w14:paraId="01E94DFD" w14:textId="318830AE" w:rsidR="00481CB5" w:rsidRDefault="00481CB5">
      <w:pPr>
        <w:pStyle w:val="FootnoteText"/>
      </w:pPr>
      <w:r>
        <w:rPr>
          <w:rStyle w:val="FootnoteReference"/>
        </w:rPr>
        <w:footnoteRef/>
      </w:r>
      <w:r>
        <w:t xml:space="preserve"> SB 350 set the target at 50%.  The target may increase to 60% either through passage of SB 100 or the CPUC’s own actions administering the RPS program.</w:t>
      </w:r>
    </w:p>
  </w:footnote>
  <w:footnote w:id="7">
    <w:p w14:paraId="06869C8C" w14:textId="77777777" w:rsidR="00481CB5" w:rsidRDefault="00481CB5" w:rsidP="009D2191">
      <w:pPr>
        <w:pStyle w:val="FootnoteText"/>
      </w:pPr>
      <w:r>
        <w:rPr>
          <w:rStyle w:val="FootnoteReference"/>
        </w:rPr>
        <w:footnoteRef/>
      </w:r>
      <w:r>
        <w:t xml:space="preserve"> Strategic Energy Risk Valuation Model – developed by and commercially licensed through Astrape Consulting</w:t>
      </w:r>
    </w:p>
  </w:footnote>
  <w:footnote w:id="8">
    <w:p w14:paraId="753047FA" w14:textId="4FDC2DEF" w:rsidR="00481CB5" w:rsidRDefault="00481CB5" w:rsidP="009D2191">
      <w:pPr>
        <w:pStyle w:val="FootnoteText"/>
      </w:pPr>
      <w:r>
        <w:rPr>
          <w:rStyle w:val="FootnoteReference"/>
        </w:rPr>
        <w:footnoteRef/>
      </w:r>
      <w:r>
        <w:t xml:space="preserve"> Refers to the system Resource Adequacy requirement based on each LSE’s peak demand forecast plus a 15% planning reserve margin. See: </w:t>
      </w:r>
      <w:hyperlink r:id="rId2" w:history="1">
        <w:r w:rsidRPr="005A4C70">
          <w:rPr>
            <w:rStyle w:val="Hyperlink"/>
          </w:rPr>
          <w:t>http://www.cpuc.ca.gov/General.aspx?id=6307</w:t>
        </w:r>
      </w:hyperlink>
    </w:p>
  </w:footnote>
  <w:footnote w:id="9">
    <w:p w14:paraId="6EDA31F7" w14:textId="055408C7" w:rsidR="00481CB5" w:rsidRDefault="00481CB5">
      <w:pPr>
        <w:pStyle w:val="FootnoteText"/>
      </w:pPr>
      <w:r>
        <w:rPr>
          <w:rStyle w:val="FootnoteReference"/>
        </w:rPr>
        <w:footnoteRef/>
      </w:r>
      <w:r>
        <w:t xml:space="preserve"> </w:t>
      </w:r>
      <w:r w:rsidRPr="003818DD">
        <w:t>CAM is a regulatory process for alloca</w:t>
      </w:r>
      <w:r>
        <w:t xml:space="preserve">ting capacity costs of utility </w:t>
      </w:r>
      <w:r w:rsidRPr="003818DD">
        <w:t>procurement across all benefitting customers.</w:t>
      </w:r>
      <w:r>
        <w:t xml:space="preserve"> More information is available at: </w:t>
      </w:r>
      <w:r w:rsidRPr="003818DD">
        <w:t>http://www.cpuc.ca.gov/General.aspx?id=6949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8BA7A" w14:textId="09CF3C0F" w:rsidR="004210A8" w:rsidRPr="004210A8" w:rsidRDefault="004210A8">
    <w:pPr>
      <w:pStyle w:val="Header"/>
      <w:rPr>
        <w:i/>
      </w:rPr>
    </w:pPr>
    <w:r w:rsidRPr="004210A8">
      <w:rPr>
        <w:i/>
      </w:rPr>
      <w:t>Energy Division Draft Proposal for IRP Modeling Advisory Group Webinar, Sep 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2CD"/>
    <w:multiLevelType w:val="hybridMultilevel"/>
    <w:tmpl w:val="3690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32D5A"/>
    <w:multiLevelType w:val="hybridMultilevel"/>
    <w:tmpl w:val="14EE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B4BD1"/>
    <w:multiLevelType w:val="hybridMultilevel"/>
    <w:tmpl w:val="D3D4E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9422A"/>
    <w:multiLevelType w:val="hybridMultilevel"/>
    <w:tmpl w:val="C8EEE6AC"/>
    <w:lvl w:ilvl="0" w:tplc="CD64FC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283E3B"/>
    <w:multiLevelType w:val="hybridMultilevel"/>
    <w:tmpl w:val="5D9CA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2D739E"/>
    <w:multiLevelType w:val="hybridMultilevel"/>
    <w:tmpl w:val="8FC8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54EB1"/>
    <w:multiLevelType w:val="hybridMultilevel"/>
    <w:tmpl w:val="C102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B40C62"/>
    <w:multiLevelType w:val="hybridMultilevel"/>
    <w:tmpl w:val="843EC676"/>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nsid w:val="09133C8E"/>
    <w:multiLevelType w:val="hybridMultilevel"/>
    <w:tmpl w:val="932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275000"/>
    <w:multiLevelType w:val="hybridMultilevel"/>
    <w:tmpl w:val="90242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8D779C"/>
    <w:multiLevelType w:val="hybridMultilevel"/>
    <w:tmpl w:val="D00E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982308"/>
    <w:multiLevelType w:val="hybridMultilevel"/>
    <w:tmpl w:val="39EC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BD1B6C"/>
    <w:multiLevelType w:val="hybridMultilevel"/>
    <w:tmpl w:val="6B94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9047A2"/>
    <w:multiLevelType w:val="hybridMultilevel"/>
    <w:tmpl w:val="709EC242"/>
    <w:lvl w:ilvl="0" w:tplc="307EBB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BFC71B0"/>
    <w:multiLevelType w:val="hybridMultilevel"/>
    <w:tmpl w:val="6C625A7C"/>
    <w:lvl w:ilvl="0" w:tplc="04090015">
      <w:start w:val="1"/>
      <w:numFmt w:val="upperLetter"/>
      <w:lvlText w:val="%1."/>
      <w:lvlJc w:val="left"/>
      <w:pPr>
        <w:tabs>
          <w:tab w:val="num" w:pos="720"/>
        </w:tabs>
        <w:ind w:left="720" w:hanging="360"/>
      </w:pPr>
    </w:lvl>
    <w:lvl w:ilvl="1" w:tplc="4FA017EC" w:tentative="1">
      <w:start w:val="1"/>
      <w:numFmt w:val="decimal"/>
      <w:lvlText w:val="%2."/>
      <w:lvlJc w:val="left"/>
      <w:pPr>
        <w:tabs>
          <w:tab w:val="num" w:pos="1440"/>
        </w:tabs>
        <w:ind w:left="1440" w:hanging="360"/>
      </w:pPr>
    </w:lvl>
    <w:lvl w:ilvl="2" w:tplc="29CA82DE" w:tentative="1">
      <w:start w:val="1"/>
      <w:numFmt w:val="decimal"/>
      <w:lvlText w:val="%3."/>
      <w:lvlJc w:val="left"/>
      <w:pPr>
        <w:tabs>
          <w:tab w:val="num" w:pos="2160"/>
        </w:tabs>
        <w:ind w:left="2160" w:hanging="360"/>
      </w:pPr>
    </w:lvl>
    <w:lvl w:ilvl="3" w:tplc="096CC564" w:tentative="1">
      <w:start w:val="1"/>
      <w:numFmt w:val="decimal"/>
      <w:lvlText w:val="%4."/>
      <w:lvlJc w:val="left"/>
      <w:pPr>
        <w:tabs>
          <w:tab w:val="num" w:pos="2880"/>
        </w:tabs>
        <w:ind w:left="2880" w:hanging="360"/>
      </w:pPr>
    </w:lvl>
    <w:lvl w:ilvl="4" w:tplc="135E420A" w:tentative="1">
      <w:start w:val="1"/>
      <w:numFmt w:val="decimal"/>
      <w:lvlText w:val="%5."/>
      <w:lvlJc w:val="left"/>
      <w:pPr>
        <w:tabs>
          <w:tab w:val="num" w:pos="3600"/>
        </w:tabs>
        <w:ind w:left="3600" w:hanging="360"/>
      </w:pPr>
    </w:lvl>
    <w:lvl w:ilvl="5" w:tplc="FE0E1EA6" w:tentative="1">
      <w:start w:val="1"/>
      <w:numFmt w:val="decimal"/>
      <w:lvlText w:val="%6."/>
      <w:lvlJc w:val="left"/>
      <w:pPr>
        <w:tabs>
          <w:tab w:val="num" w:pos="4320"/>
        </w:tabs>
        <w:ind w:left="4320" w:hanging="360"/>
      </w:pPr>
    </w:lvl>
    <w:lvl w:ilvl="6" w:tplc="12DA7C38" w:tentative="1">
      <w:start w:val="1"/>
      <w:numFmt w:val="decimal"/>
      <w:lvlText w:val="%7."/>
      <w:lvlJc w:val="left"/>
      <w:pPr>
        <w:tabs>
          <w:tab w:val="num" w:pos="5040"/>
        </w:tabs>
        <w:ind w:left="5040" w:hanging="360"/>
      </w:pPr>
    </w:lvl>
    <w:lvl w:ilvl="7" w:tplc="EF229BF2" w:tentative="1">
      <w:start w:val="1"/>
      <w:numFmt w:val="decimal"/>
      <w:lvlText w:val="%8."/>
      <w:lvlJc w:val="left"/>
      <w:pPr>
        <w:tabs>
          <w:tab w:val="num" w:pos="5760"/>
        </w:tabs>
        <w:ind w:left="5760" w:hanging="360"/>
      </w:pPr>
    </w:lvl>
    <w:lvl w:ilvl="8" w:tplc="38023004" w:tentative="1">
      <w:start w:val="1"/>
      <w:numFmt w:val="decimal"/>
      <w:lvlText w:val="%9."/>
      <w:lvlJc w:val="left"/>
      <w:pPr>
        <w:tabs>
          <w:tab w:val="num" w:pos="6480"/>
        </w:tabs>
        <w:ind w:left="6480" w:hanging="360"/>
      </w:pPr>
    </w:lvl>
  </w:abstractNum>
  <w:abstractNum w:abstractNumId="15">
    <w:nsid w:val="0C751316"/>
    <w:multiLevelType w:val="hybridMultilevel"/>
    <w:tmpl w:val="8204624A"/>
    <w:lvl w:ilvl="0" w:tplc="639E33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257D77"/>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D646EF0"/>
    <w:multiLevelType w:val="hybridMultilevel"/>
    <w:tmpl w:val="8F66C2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743AE3"/>
    <w:multiLevelType w:val="hybridMultilevel"/>
    <w:tmpl w:val="F8E87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9633D5"/>
    <w:multiLevelType w:val="hybridMultilevel"/>
    <w:tmpl w:val="5E10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A96768"/>
    <w:multiLevelType w:val="hybridMultilevel"/>
    <w:tmpl w:val="CE42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E13564"/>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127445B"/>
    <w:multiLevelType w:val="hybridMultilevel"/>
    <w:tmpl w:val="26A4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5450D1"/>
    <w:multiLevelType w:val="hybridMultilevel"/>
    <w:tmpl w:val="46908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4970C50"/>
    <w:multiLevelType w:val="hybridMultilevel"/>
    <w:tmpl w:val="FE7C6E6E"/>
    <w:lvl w:ilvl="0" w:tplc="8FA641B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159D4C46"/>
    <w:multiLevelType w:val="hybridMultilevel"/>
    <w:tmpl w:val="DAD25444"/>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9F3887"/>
    <w:multiLevelType w:val="hybridMultilevel"/>
    <w:tmpl w:val="ADEE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BC71B4"/>
    <w:multiLevelType w:val="hybridMultilevel"/>
    <w:tmpl w:val="B722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002645"/>
    <w:multiLevelType w:val="hybridMultilevel"/>
    <w:tmpl w:val="D58A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B435E8"/>
    <w:multiLevelType w:val="hybridMultilevel"/>
    <w:tmpl w:val="456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B95B0C"/>
    <w:multiLevelType w:val="hybridMultilevel"/>
    <w:tmpl w:val="67CED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6E57C1B"/>
    <w:multiLevelType w:val="hybridMultilevel"/>
    <w:tmpl w:val="785247E0"/>
    <w:lvl w:ilvl="0" w:tplc="74905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7025A26"/>
    <w:multiLevelType w:val="hybridMultilevel"/>
    <w:tmpl w:val="14068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960F1C"/>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83559DC"/>
    <w:multiLevelType w:val="hybridMultilevel"/>
    <w:tmpl w:val="4F8AC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017738"/>
    <w:multiLevelType w:val="hybridMultilevel"/>
    <w:tmpl w:val="FEC6A2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190931E2"/>
    <w:multiLevelType w:val="hybridMultilevel"/>
    <w:tmpl w:val="D698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940692F"/>
    <w:multiLevelType w:val="hybridMultilevel"/>
    <w:tmpl w:val="3ADC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9EA6233"/>
    <w:multiLevelType w:val="hybridMultilevel"/>
    <w:tmpl w:val="FE00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A306994"/>
    <w:multiLevelType w:val="hybridMultilevel"/>
    <w:tmpl w:val="42B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A4E5599"/>
    <w:multiLevelType w:val="hybridMultilevel"/>
    <w:tmpl w:val="4F8AC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98273F"/>
    <w:multiLevelType w:val="hybridMultilevel"/>
    <w:tmpl w:val="FE48A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A655F0"/>
    <w:multiLevelType w:val="hybridMultilevel"/>
    <w:tmpl w:val="4C8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CC16193"/>
    <w:multiLevelType w:val="hybridMultilevel"/>
    <w:tmpl w:val="2A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D951514"/>
    <w:multiLevelType w:val="hybridMultilevel"/>
    <w:tmpl w:val="8CD08752"/>
    <w:lvl w:ilvl="0" w:tplc="06ECD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BD2251"/>
    <w:multiLevelType w:val="hybridMultilevel"/>
    <w:tmpl w:val="67721E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E375047"/>
    <w:multiLevelType w:val="hybridMultilevel"/>
    <w:tmpl w:val="E70C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E375385"/>
    <w:multiLevelType w:val="hybridMultilevel"/>
    <w:tmpl w:val="B1A8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E88001B"/>
    <w:multiLevelType w:val="hybridMultilevel"/>
    <w:tmpl w:val="989A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00D46C5"/>
    <w:multiLevelType w:val="hybridMultilevel"/>
    <w:tmpl w:val="65F8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07302FA"/>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21C67352"/>
    <w:multiLevelType w:val="hybridMultilevel"/>
    <w:tmpl w:val="45E02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1CF4CD4"/>
    <w:multiLevelType w:val="hybridMultilevel"/>
    <w:tmpl w:val="5C84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3536378"/>
    <w:multiLevelType w:val="hybridMultilevel"/>
    <w:tmpl w:val="86E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7921F5"/>
    <w:multiLevelType w:val="hybridMultilevel"/>
    <w:tmpl w:val="19007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39840FB"/>
    <w:multiLevelType w:val="hybridMultilevel"/>
    <w:tmpl w:val="39028F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23C74149"/>
    <w:multiLevelType w:val="hybridMultilevel"/>
    <w:tmpl w:val="A0C8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47E370B"/>
    <w:multiLevelType w:val="hybridMultilevel"/>
    <w:tmpl w:val="A96C0C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6571FFC"/>
    <w:multiLevelType w:val="hybridMultilevel"/>
    <w:tmpl w:val="9016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66B048B"/>
    <w:multiLevelType w:val="hybridMultilevel"/>
    <w:tmpl w:val="1284C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83112F0"/>
    <w:multiLevelType w:val="hybridMultilevel"/>
    <w:tmpl w:val="55B8C9A0"/>
    <w:lvl w:ilvl="0" w:tplc="D5A47C5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8382CC3"/>
    <w:multiLevelType w:val="hybridMultilevel"/>
    <w:tmpl w:val="E39EC370"/>
    <w:lvl w:ilvl="0" w:tplc="4ED829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8EC1C81"/>
    <w:multiLevelType w:val="hybridMultilevel"/>
    <w:tmpl w:val="5DF849BC"/>
    <w:lvl w:ilvl="0" w:tplc="784EDDB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929431B"/>
    <w:multiLevelType w:val="hybridMultilevel"/>
    <w:tmpl w:val="9844C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9A31ADB"/>
    <w:multiLevelType w:val="hybridMultilevel"/>
    <w:tmpl w:val="07C0B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9FD7CD3"/>
    <w:multiLevelType w:val="hybridMultilevel"/>
    <w:tmpl w:val="E5A6CFD8"/>
    <w:lvl w:ilvl="0" w:tplc="BA2E09F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AC2134F"/>
    <w:multiLevelType w:val="hybridMultilevel"/>
    <w:tmpl w:val="F6D8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B1B595C"/>
    <w:multiLevelType w:val="hybridMultilevel"/>
    <w:tmpl w:val="CA105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C30568B"/>
    <w:multiLevelType w:val="hybridMultilevel"/>
    <w:tmpl w:val="575CB890"/>
    <w:lvl w:ilvl="0" w:tplc="DCA2B89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C7E2C0F"/>
    <w:multiLevelType w:val="hybridMultilevel"/>
    <w:tmpl w:val="65FA965C"/>
    <w:lvl w:ilvl="0" w:tplc="C912708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CCF4DEF"/>
    <w:multiLevelType w:val="hybridMultilevel"/>
    <w:tmpl w:val="7F649C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485736"/>
    <w:multiLevelType w:val="hybridMultilevel"/>
    <w:tmpl w:val="0F5C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E9E24B8"/>
    <w:multiLevelType w:val="hybridMultilevel"/>
    <w:tmpl w:val="D472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0697802"/>
    <w:multiLevelType w:val="hybridMultilevel"/>
    <w:tmpl w:val="B3C8B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0F433E4"/>
    <w:multiLevelType w:val="hybridMultilevel"/>
    <w:tmpl w:val="D318C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10711BD"/>
    <w:multiLevelType w:val="hybridMultilevel"/>
    <w:tmpl w:val="7728B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27A372C"/>
    <w:multiLevelType w:val="hybridMultilevel"/>
    <w:tmpl w:val="A33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3EC11B8"/>
    <w:multiLevelType w:val="hybridMultilevel"/>
    <w:tmpl w:val="C6346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42407A2"/>
    <w:multiLevelType w:val="hybridMultilevel"/>
    <w:tmpl w:val="029C6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6F05538"/>
    <w:multiLevelType w:val="hybridMultilevel"/>
    <w:tmpl w:val="27263478"/>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7C00A7A"/>
    <w:multiLevelType w:val="hybridMultilevel"/>
    <w:tmpl w:val="4BCC3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37C11424"/>
    <w:multiLevelType w:val="hybridMultilevel"/>
    <w:tmpl w:val="CBB4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83D42AA"/>
    <w:multiLevelType w:val="hybridMultilevel"/>
    <w:tmpl w:val="82FEAF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8E15582"/>
    <w:multiLevelType w:val="hybridMultilevel"/>
    <w:tmpl w:val="5FB28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95A652B"/>
    <w:multiLevelType w:val="hybridMultilevel"/>
    <w:tmpl w:val="E37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B3347CB"/>
    <w:multiLevelType w:val="hybridMultilevel"/>
    <w:tmpl w:val="00C6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B5C73BA"/>
    <w:multiLevelType w:val="hybridMultilevel"/>
    <w:tmpl w:val="FB2446A2"/>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7">
    <w:nsid w:val="3BE91A32"/>
    <w:multiLevelType w:val="hybridMultilevel"/>
    <w:tmpl w:val="4DF884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C0A15A5"/>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3C8A3581"/>
    <w:multiLevelType w:val="hybridMultilevel"/>
    <w:tmpl w:val="19D0C854"/>
    <w:lvl w:ilvl="0" w:tplc="E7CC206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D0F1F15"/>
    <w:multiLevelType w:val="hybridMultilevel"/>
    <w:tmpl w:val="84540770"/>
    <w:lvl w:ilvl="0" w:tplc="9E86E0A2">
      <w:start w:val="1"/>
      <w:numFmt w:val="decimal"/>
      <w:lvlText w:val="%1."/>
      <w:lvlJc w:val="left"/>
      <w:pPr>
        <w:tabs>
          <w:tab w:val="num" w:pos="720"/>
        </w:tabs>
        <w:ind w:left="720" w:hanging="360"/>
      </w:pPr>
    </w:lvl>
    <w:lvl w:ilvl="1" w:tplc="4FA017EC" w:tentative="1">
      <w:start w:val="1"/>
      <w:numFmt w:val="decimal"/>
      <w:lvlText w:val="%2."/>
      <w:lvlJc w:val="left"/>
      <w:pPr>
        <w:tabs>
          <w:tab w:val="num" w:pos="1440"/>
        </w:tabs>
        <w:ind w:left="1440" w:hanging="360"/>
      </w:pPr>
    </w:lvl>
    <w:lvl w:ilvl="2" w:tplc="29CA82DE" w:tentative="1">
      <w:start w:val="1"/>
      <w:numFmt w:val="decimal"/>
      <w:lvlText w:val="%3."/>
      <w:lvlJc w:val="left"/>
      <w:pPr>
        <w:tabs>
          <w:tab w:val="num" w:pos="2160"/>
        </w:tabs>
        <w:ind w:left="2160" w:hanging="360"/>
      </w:pPr>
    </w:lvl>
    <w:lvl w:ilvl="3" w:tplc="096CC564" w:tentative="1">
      <w:start w:val="1"/>
      <w:numFmt w:val="decimal"/>
      <w:lvlText w:val="%4."/>
      <w:lvlJc w:val="left"/>
      <w:pPr>
        <w:tabs>
          <w:tab w:val="num" w:pos="2880"/>
        </w:tabs>
        <w:ind w:left="2880" w:hanging="360"/>
      </w:pPr>
    </w:lvl>
    <w:lvl w:ilvl="4" w:tplc="135E420A" w:tentative="1">
      <w:start w:val="1"/>
      <w:numFmt w:val="decimal"/>
      <w:lvlText w:val="%5."/>
      <w:lvlJc w:val="left"/>
      <w:pPr>
        <w:tabs>
          <w:tab w:val="num" w:pos="3600"/>
        </w:tabs>
        <w:ind w:left="3600" w:hanging="360"/>
      </w:pPr>
    </w:lvl>
    <w:lvl w:ilvl="5" w:tplc="FE0E1EA6" w:tentative="1">
      <w:start w:val="1"/>
      <w:numFmt w:val="decimal"/>
      <w:lvlText w:val="%6."/>
      <w:lvlJc w:val="left"/>
      <w:pPr>
        <w:tabs>
          <w:tab w:val="num" w:pos="4320"/>
        </w:tabs>
        <w:ind w:left="4320" w:hanging="360"/>
      </w:pPr>
    </w:lvl>
    <w:lvl w:ilvl="6" w:tplc="12DA7C38" w:tentative="1">
      <w:start w:val="1"/>
      <w:numFmt w:val="decimal"/>
      <w:lvlText w:val="%7."/>
      <w:lvlJc w:val="left"/>
      <w:pPr>
        <w:tabs>
          <w:tab w:val="num" w:pos="5040"/>
        </w:tabs>
        <w:ind w:left="5040" w:hanging="360"/>
      </w:pPr>
    </w:lvl>
    <w:lvl w:ilvl="7" w:tplc="EF229BF2" w:tentative="1">
      <w:start w:val="1"/>
      <w:numFmt w:val="decimal"/>
      <w:lvlText w:val="%8."/>
      <w:lvlJc w:val="left"/>
      <w:pPr>
        <w:tabs>
          <w:tab w:val="num" w:pos="5760"/>
        </w:tabs>
        <w:ind w:left="5760" w:hanging="360"/>
      </w:pPr>
    </w:lvl>
    <w:lvl w:ilvl="8" w:tplc="38023004" w:tentative="1">
      <w:start w:val="1"/>
      <w:numFmt w:val="decimal"/>
      <w:lvlText w:val="%9."/>
      <w:lvlJc w:val="left"/>
      <w:pPr>
        <w:tabs>
          <w:tab w:val="num" w:pos="6480"/>
        </w:tabs>
        <w:ind w:left="6480" w:hanging="360"/>
      </w:pPr>
    </w:lvl>
  </w:abstractNum>
  <w:abstractNum w:abstractNumId="91">
    <w:nsid w:val="3D4541E4"/>
    <w:multiLevelType w:val="hybridMultilevel"/>
    <w:tmpl w:val="CFDCA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FBF371C"/>
    <w:multiLevelType w:val="hybridMultilevel"/>
    <w:tmpl w:val="144C263A"/>
    <w:lvl w:ilvl="0" w:tplc="BFD4CAA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02759DD"/>
    <w:multiLevelType w:val="hybridMultilevel"/>
    <w:tmpl w:val="1BD0588A"/>
    <w:lvl w:ilvl="0" w:tplc="1F148B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41017DE9"/>
    <w:multiLevelType w:val="hybridMultilevel"/>
    <w:tmpl w:val="444E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137202E"/>
    <w:multiLevelType w:val="hybridMultilevel"/>
    <w:tmpl w:val="5F42F042"/>
    <w:lvl w:ilvl="0" w:tplc="BA7EEE9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19A7014"/>
    <w:multiLevelType w:val="hybridMultilevel"/>
    <w:tmpl w:val="09AEB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1BE48F7"/>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425F7DCB"/>
    <w:multiLevelType w:val="hybridMultilevel"/>
    <w:tmpl w:val="2FBC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2FB57C8"/>
    <w:multiLevelType w:val="hybridMultilevel"/>
    <w:tmpl w:val="D72C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49F44A0"/>
    <w:multiLevelType w:val="hybridMultilevel"/>
    <w:tmpl w:val="CF4A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7647922"/>
    <w:multiLevelType w:val="hybridMultilevel"/>
    <w:tmpl w:val="9A16D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076A13"/>
    <w:multiLevelType w:val="hybridMultilevel"/>
    <w:tmpl w:val="6C625A7C"/>
    <w:lvl w:ilvl="0" w:tplc="04090015">
      <w:start w:val="1"/>
      <w:numFmt w:val="upperLetter"/>
      <w:lvlText w:val="%1."/>
      <w:lvlJc w:val="left"/>
      <w:pPr>
        <w:tabs>
          <w:tab w:val="num" w:pos="720"/>
        </w:tabs>
        <w:ind w:left="720" w:hanging="360"/>
      </w:pPr>
    </w:lvl>
    <w:lvl w:ilvl="1" w:tplc="4FA017EC" w:tentative="1">
      <w:start w:val="1"/>
      <w:numFmt w:val="decimal"/>
      <w:lvlText w:val="%2."/>
      <w:lvlJc w:val="left"/>
      <w:pPr>
        <w:tabs>
          <w:tab w:val="num" w:pos="1440"/>
        </w:tabs>
        <w:ind w:left="1440" w:hanging="360"/>
      </w:pPr>
    </w:lvl>
    <w:lvl w:ilvl="2" w:tplc="29CA82DE" w:tentative="1">
      <w:start w:val="1"/>
      <w:numFmt w:val="decimal"/>
      <w:lvlText w:val="%3."/>
      <w:lvlJc w:val="left"/>
      <w:pPr>
        <w:tabs>
          <w:tab w:val="num" w:pos="2160"/>
        </w:tabs>
        <w:ind w:left="2160" w:hanging="360"/>
      </w:pPr>
    </w:lvl>
    <w:lvl w:ilvl="3" w:tplc="096CC564" w:tentative="1">
      <w:start w:val="1"/>
      <w:numFmt w:val="decimal"/>
      <w:lvlText w:val="%4."/>
      <w:lvlJc w:val="left"/>
      <w:pPr>
        <w:tabs>
          <w:tab w:val="num" w:pos="2880"/>
        </w:tabs>
        <w:ind w:left="2880" w:hanging="360"/>
      </w:pPr>
    </w:lvl>
    <w:lvl w:ilvl="4" w:tplc="135E420A" w:tentative="1">
      <w:start w:val="1"/>
      <w:numFmt w:val="decimal"/>
      <w:lvlText w:val="%5."/>
      <w:lvlJc w:val="left"/>
      <w:pPr>
        <w:tabs>
          <w:tab w:val="num" w:pos="3600"/>
        </w:tabs>
        <w:ind w:left="3600" w:hanging="360"/>
      </w:pPr>
    </w:lvl>
    <w:lvl w:ilvl="5" w:tplc="FE0E1EA6" w:tentative="1">
      <w:start w:val="1"/>
      <w:numFmt w:val="decimal"/>
      <w:lvlText w:val="%6."/>
      <w:lvlJc w:val="left"/>
      <w:pPr>
        <w:tabs>
          <w:tab w:val="num" w:pos="4320"/>
        </w:tabs>
        <w:ind w:left="4320" w:hanging="360"/>
      </w:pPr>
    </w:lvl>
    <w:lvl w:ilvl="6" w:tplc="12DA7C38" w:tentative="1">
      <w:start w:val="1"/>
      <w:numFmt w:val="decimal"/>
      <w:lvlText w:val="%7."/>
      <w:lvlJc w:val="left"/>
      <w:pPr>
        <w:tabs>
          <w:tab w:val="num" w:pos="5040"/>
        </w:tabs>
        <w:ind w:left="5040" w:hanging="360"/>
      </w:pPr>
    </w:lvl>
    <w:lvl w:ilvl="7" w:tplc="EF229BF2" w:tentative="1">
      <w:start w:val="1"/>
      <w:numFmt w:val="decimal"/>
      <w:lvlText w:val="%8."/>
      <w:lvlJc w:val="left"/>
      <w:pPr>
        <w:tabs>
          <w:tab w:val="num" w:pos="5760"/>
        </w:tabs>
        <w:ind w:left="5760" w:hanging="360"/>
      </w:pPr>
    </w:lvl>
    <w:lvl w:ilvl="8" w:tplc="38023004" w:tentative="1">
      <w:start w:val="1"/>
      <w:numFmt w:val="decimal"/>
      <w:lvlText w:val="%9."/>
      <w:lvlJc w:val="left"/>
      <w:pPr>
        <w:tabs>
          <w:tab w:val="num" w:pos="6480"/>
        </w:tabs>
        <w:ind w:left="6480" w:hanging="360"/>
      </w:pPr>
    </w:lvl>
  </w:abstractNum>
  <w:abstractNum w:abstractNumId="103">
    <w:nsid w:val="48407CB9"/>
    <w:multiLevelType w:val="hybridMultilevel"/>
    <w:tmpl w:val="49BC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827590"/>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489B2195"/>
    <w:multiLevelType w:val="hybridMultilevel"/>
    <w:tmpl w:val="322C46EE"/>
    <w:lvl w:ilvl="0" w:tplc="78864672">
      <w:start w:val="1"/>
      <w:numFmt w:val="bullet"/>
      <w:lvlText w:val="•"/>
      <w:lvlJc w:val="left"/>
      <w:pPr>
        <w:tabs>
          <w:tab w:val="num" w:pos="720"/>
        </w:tabs>
        <w:ind w:left="720" w:hanging="360"/>
      </w:pPr>
      <w:rPr>
        <w:rFonts w:ascii="Arial" w:hAnsi="Arial" w:hint="default"/>
      </w:rPr>
    </w:lvl>
    <w:lvl w:ilvl="1" w:tplc="E3B407A8">
      <w:start w:val="3346"/>
      <w:numFmt w:val="bullet"/>
      <w:lvlText w:val="–"/>
      <w:lvlJc w:val="left"/>
      <w:pPr>
        <w:tabs>
          <w:tab w:val="num" w:pos="1440"/>
        </w:tabs>
        <w:ind w:left="1440" w:hanging="360"/>
      </w:pPr>
      <w:rPr>
        <w:rFonts w:ascii="Arial" w:hAnsi="Arial" w:hint="default"/>
      </w:rPr>
    </w:lvl>
    <w:lvl w:ilvl="2" w:tplc="0554D816">
      <w:start w:val="3346"/>
      <w:numFmt w:val="bullet"/>
      <w:lvlText w:val="•"/>
      <w:lvlJc w:val="left"/>
      <w:pPr>
        <w:tabs>
          <w:tab w:val="num" w:pos="2160"/>
        </w:tabs>
        <w:ind w:left="2160" w:hanging="360"/>
      </w:pPr>
      <w:rPr>
        <w:rFonts w:ascii="Arial" w:hAnsi="Arial" w:hint="default"/>
      </w:rPr>
    </w:lvl>
    <w:lvl w:ilvl="3" w:tplc="858488C8" w:tentative="1">
      <w:start w:val="1"/>
      <w:numFmt w:val="bullet"/>
      <w:lvlText w:val="•"/>
      <w:lvlJc w:val="left"/>
      <w:pPr>
        <w:tabs>
          <w:tab w:val="num" w:pos="2880"/>
        </w:tabs>
        <w:ind w:left="2880" w:hanging="360"/>
      </w:pPr>
      <w:rPr>
        <w:rFonts w:ascii="Arial" w:hAnsi="Arial" w:hint="default"/>
      </w:rPr>
    </w:lvl>
    <w:lvl w:ilvl="4" w:tplc="E6AAAC02" w:tentative="1">
      <w:start w:val="1"/>
      <w:numFmt w:val="bullet"/>
      <w:lvlText w:val="•"/>
      <w:lvlJc w:val="left"/>
      <w:pPr>
        <w:tabs>
          <w:tab w:val="num" w:pos="3600"/>
        </w:tabs>
        <w:ind w:left="3600" w:hanging="360"/>
      </w:pPr>
      <w:rPr>
        <w:rFonts w:ascii="Arial" w:hAnsi="Arial" w:hint="default"/>
      </w:rPr>
    </w:lvl>
    <w:lvl w:ilvl="5" w:tplc="61022720" w:tentative="1">
      <w:start w:val="1"/>
      <w:numFmt w:val="bullet"/>
      <w:lvlText w:val="•"/>
      <w:lvlJc w:val="left"/>
      <w:pPr>
        <w:tabs>
          <w:tab w:val="num" w:pos="4320"/>
        </w:tabs>
        <w:ind w:left="4320" w:hanging="360"/>
      </w:pPr>
      <w:rPr>
        <w:rFonts w:ascii="Arial" w:hAnsi="Arial" w:hint="default"/>
      </w:rPr>
    </w:lvl>
    <w:lvl w:ilvl="6" w:tplc="7610B1C2" w:tentative="1">
      <w:start w:val="1"/>
      <w:numFmt w:val="bullet"/>
      <w:lvlText w:val="•"/>
      <w:lvlJc w:val="left"/>
      <w:pPr>
        <w:tabs>
          <w:tab w:val="num" w:pos="5040"/>
        </w:tabs>
        <w:ind w:left="5040" w:hanging="360"/>
      </w:pPr>
      <w:rPr>
        <w:rFonts w:ascii="Arial" w:hAnsi="Arial" w:hint="default"/>
      </w:rPr>
    </w:lvl>
    <w:lvl w:ilvl="7" w:tplc="03F05E6C" w:tentative="1">
      <w:start w:val="1"/>
      <w:numFmt w:val="bullet"/>
      <w:lvlText w:val="•"/>
      <w:lvlJc w:val="left"/>
      <w:pPr>
        <w:tabs>
          <w:tab w:val="num" w:pos="5760"/>
        </w:tabs>
        <w:ind w:left="5760" w:hanging="360"/>
      </w:pPr>
      <w:rPr>
        <w:rFonts w:ascii="Arial" w:hAnsi="Arial" w:hint="default"/>
      </w:rPr>
    </w:lvl>
    <w:lvl w:ilvl="8" w:tplc="F40E4D8A" w:tentative="1">
      <w:start w:val="1"/>
      <w:numFmt w:val="bullet"/>
      <w:lvlText w:val="•"/>
      <w:lvlJc w:val="left"/>
      <w:pPr>
        <w:tabs>
          <w:tab w:val="num" w:pos="6480"/>
        </w:tabs>
        <w:ind w:left="6480" w:hanging="360"/>
      </w:pPr>
      <w:rPr>
        <w:rFonts w:ascii="Arial" w:hAnsi="Arial" w:hint="default"/>
      </w:rPr>
    </w:lvl>
  </w:abstractNum>
  <w:abstractNum w:abstractNumId="106">
    <w:nsid w:val="4AE56CE1"/>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4DDF37A7"/>
    <w:multiLevelType w:val="hybridMultilevel"/>
    <w:tmpl w:val="6D1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DE476B6"/>
    <w:multiLevelType w:val="hybridMultilevel"/>
    <w:tmpl w:val="0F16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ED4572D"/>
    <w:multiLevelType w:val="hybridMultilevel"/>
    <w:tmpl w:val="4A200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05E63B2"/>
    <w:multiLevelType w:val="hybridMultilevel"/>
    <w:tmpl w:val="BC708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5153187B"/>
    <w:multiLevelType w:val="hybridMultilevel"/>
    <w:tmpl w:val="A87890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3C90B01"/>
    <w:multiLevelType w:val="hybridMultilevel"/>
    <w:tmpl w:val="B5B4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46E51CE"/>
    <w:multiLevelType w:val="hybridMultilevel"/>
    <w:tmpl w:val="37CC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4B61C47"/>
    <w:multiLevelType w:val="hybridMultilevel"/>
    <w:tmpl w:val="F860FC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555A1B6F"/>
    <w:multiLevelType w:val="hybridMultilevel"/>
    <w:tmpl w:val="58AC1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5F61832"/>
    <w:multiLevelType w:val="hybridMultilevel"/>
    <w:tmpl w:val="C59EF8DE"/>
    <w:lvl w:ilvl="0" w:tplc="784EDD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606781C"/>
    <w:multiLevelType w:val="hybridMultilevel"/>
    <w:tmpl w:val="4C34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63B6B3D"/>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688754C"/>
    <w:multiLevelType w:val="hybridMultilevel"/>
    <w:tmpl w:val="4B2A0C4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0">
    <w:nsid w:val="587307D4"/>
    <w:multiLevelType w:val="hybridMultilevel"/>
    <w:tmpl w:val="E8A24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A301B29"/>
    <w:multiLevelType w:val="hybridMultilevel"/>
    <w:tmpl w:val="33BE5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B7E27A1"/>
    <w:multiLevelType w:val="hybridMultilevel"/>
    <w:tmpl w:val="FBF2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D0D167F"/>
    <w:multiLevelType w:val="hybridMultilevel"/>
    <w:tmpl w:val="D83AC296"/>
    <w:lvl w:ilvl="0" w:tplc="501CAD5C">
      <w:start w:val="2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E2D37BE"/>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nsid w:val="5EAD68F4"/>
    <w:multiLevelType w:val="hybridMultilevel"/>
    <w:tmpl w:val="7032B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5F823B7A"/>
    <w:multiLevelType w:val="hybridMultilevel"/>
    <w:tmpl w:val="B26C4ECA"/>
    <w:lvl w:ilvl="0" w:tplc="501CAD5C">
      <w:start w:val="2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0527EDD"/>
    <w:multiLevelType w:val="hybridMultilevel"/>
    <w:tmpl w:val="24983AA2"/>
    <w:lvl w:ilvl="0" w:tplc="0409000F">
      <w:start w:val="1"/>
      <w:numFmt w:val="decimal"/>
      <w:lvlText w:val="%1."/>
      <w:lvlJc w:val="left"/>
      <w:pPr>
        <w:ind w:left="720" w:hanging="360"/>
      </w:pPr>
    </w:lvl>
    <w:lvl w:ilvl="1" w:tplc="B4443E5E">
      <w:start w:val="1"/>
      <w:numFmt w:val="lowerLetter"/>
      <w:lvlText w:val="(%2)"/>
      <w:lvlJc w:val="left"/>
      <w:pPr>
        <w:ind w:left="1440" w:hanging="360"/>
      </w:pPr>
      <w:rPr>
        <w:rFonts w:hint="default"/>
      </w:rPr>
    </w:lvl>
    <w:lvl w:ilvl="2" w:tplc="15665CC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20704B6"/>
    <w:multiLevelType w:val="hybridMultilevel"/>
    <w:tmpl w:val="403A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27C76A1"/>
    <w:multiLevelType w:val="hybridMultilevel"/>
    <w:tmpl w:val="8A86A9B4"/>
    <w:lvl w:ilvl="0" w:tplc="B7642CA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3840F0C"/>
    <w:multiLevelType w:val="hybridMultilevel"/>
    <w:tmpl w:val="C87E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414299E"/>
    <w:multiLevelType w:val="hybridMultilevel"/>
    <w:tmpl w:val="B8C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43A598D"/>
    <w:multiLevelType w:val="hybridMultilevel"/>
    <w:tmpl w:val="0C2A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43E7039"/>
    <w:multiLevelType w:val="hybridMultilevel"/>
    <w:tmpl w:val="3ADC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47D5ED1"/>
    <w:multiLevelType w:val="hybridMultilevel"/>
    <w:tmpl w:val="8C2C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4862236"/>
    <w:multiLevelType w:val="hybridMultilevel"/>
    <w:tmpl w:val="86D04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4E855FE"/>
    <w:multiLevelType w:val="hybridMultilevel"/>
    <w:tmpl w:val="5AD2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53B5939"/>
    <w:multiLevelType w:val="hybridMultilevel"/>
    <w:tmpl w:val="96E6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5E95FF7"/>
    <w:multiLevelType w:val="hybridMultilevel"/>
    <w:tmpl w:val="8BE41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67863F03"/>
    <w:multiLevelType w:val="hybridMultilevel"/>
    <w:tmpl w:val="47BA2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7986CCF"/>
    <w:multiLevelType w:val="hybridMultilevel"/>
    <w:tmpl w:val="FA12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7D656F5"/>
    <w:multiLevelType w:val="hybridMultilevel"/>
    <w:tmpl w:val="70640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B41643B"/>
    <w:multiLevelType w:val="hybridMultilevel"/>
    <w:tmpl w:val="15E43F84"/>
    <w:lvl w:ilvl="0" w:tplc="1F148B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6B6D7D37"/>
    <w:multiLevelType w:val="hybridMultilevel"/>
    <w:tmpl w:val="FAF4F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6C066508"/>
    <w:multiLevelType w:val="hybridMultilevel"/>
    <w:tmpl w:val="84540770"/>
    <w:lvl w:ilvl="0" w:tplc="9E86E0A2">
      <w:start w:val="1"/>
      <w:numFmt w:val="decimal"/>
      <w:lvlText w:val="%1."/>
      <w:lvlJc w:val="left"/>
      <w:pPr>
        <w:tabs>
          <w:tab w:val="num" w:pos="720"/>
        </w:tabs>
        <w:ind w:left="720" w:hanging="360"/>
      </w:pPr>
    </w:lvl>
    <w:lvl w:ilvl="1" w:tplc="4FA017EC" w:tentative="1">
      <w:start w:val="1"/>
      <w:numFmt w:val="decimal"/>
      <w:lvlText w:val="%2."/>
      <w:lvlJc w:val="left"/>
      <w:pPr>
        <w:tabs>
          <w:tab w:val="num" w:pos="1440"/>
        </w:tabs>
        <w:ind w:left="1440" w:hanging="360"/>
      </w:pPr>
    </w:lvl>
    <w:lvl w:ilvl="2" w:tplc="29CA82DE" w:tentative="1">
      <w:start w:val="1"/>
      <w:numFmt w:val="decimal"/>
      <w:lvlText w:val="%3."/>
      <w:lvlJc w:val="left"/>
      <w:pPr>
        <w:tabs>
          <w:tab w:val="num" w:pos="2160"/>
        </w:tabs>
        <w:ind w:left="2160" w:hanging="360"/>
      </w:pPr>
    </w:lvl>
    <w:lvl w:ilvl="3" w:tplc="096CC564" w:tentative="1">
      <w:start w:val="1"/>
      <w:numFmt w:val="decimal"/>
      <w:lvlText w:val="%4."/>
      <w:lvlJc w:val="left"/>
      <w:pPr>
        <w:tabs>
          <w:tab w:val="num" w:pos="2880"/>
        </w:tabs>
        <w:ind w:left="2880" w:hanging="360"/>
      </w:pPr>
    </w:lvl>
    <w:lvl w:ilvl="4" w:tplc="135E420A" w:tentative="1">
      <w:start w:val="1"/>
      <w:numFmt w:val="decimal"/>
      <w:lvlText w:val="%5."/>
      <w:lvlJc w:val="left"/>
      <w:pPr>
        <w:tabs>
          <w:tab w:val="num" w:pos="3600"/>
        </w:tabs>
        <w:ind w:left="3600" w:hanging="360"/>
      </w:pPr>
    </w:lvl>
    <w:lvl w:ilvl="5" w:tplc="FE0E1EA6" w:tentative="1">
      <w:start w:val="1"/>
      <w:numFmt w:val="decimal"/>
      <w:lvlText w:val="%6."/>
      <w:lvlJc w:val="left"/>
      <w:pPr>
        <w:tabs>
          <w:tab w:val="num" w:pos="4320"/>
        </w:tabs>
        <w:ind w:left="4320" w:hanging="360"/>
      </w:pPr>
    </w:lvl>
    <w:lvl w:ilvl="6" w:tplc="12DA7C38" w:tentative="1">
      <w:start w:val="1"/>
      <w:numFmt w:val="decimal"/>
      <w:lvlText w:val="%7."/>
      <w:lvlJc w:val="left"/>
      <w:pPr>
        <w:tabs>
          <w:tab w:val="num" w:pos="5040"/>
        </w:tabs>
        <w:ind w:left="5040" w:hanging="360"/>
      </w:pPr>
    </w:lvl>
    <w:lvl w:ilvl="7" w:tplc="EF229BF2" w:tentative="1">
      <w:start w:val="1"/>
      <w:numFmt w:val="decimal"/>
      <w:lvlText w:val="%8."/>
      <w:lvlJc w:val="left"/>
      <w:pPr>
        <w:tabs>
          <w:tab w:val="num" w:pos="5760"/>
        </w:tabs>
        <w:ind w:left="5760" w:hanging="360"/>
      </w:pPr>
    </w:lvl>
    <w:lvl w:ilvl="8" w:tplc="38023004" w:tentative="1">
      <w:start w:val="1"/>
      <w:numFmt w:val="decimal"/>
      <w:lvlText w:val="%9."/>
      <w:lvlJc w:val="left"/>
      <w:pPr>
        <w:tabs>
          <w:tab w:val="num" w:pos="6480"/>
        </w:tabs>
        <w:ind w:left="6480" w:hanging="360"/>
      </w:pPr>
    </w:lvl>
  </w:abstractNum>
  <w:abstractNum w:abstractNumId="145">
    <w:nsid w:val="6C425DE9"/>
    <w:multiLevelType w:val="hybridMultilevel"/>
    <w:tmpl w:val="0BEE2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C467B12"/>
    <w:multiLevelType w:val="hybridMultilevel"/>
    <w:tmpl w:val="5FBA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DD71AD7"/>
    <w:multiLevelType w:val="hybridMultilevel"/>
    <w:tmpl w:val="DAF2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F2529B0"/>
    <w:multiLevelType w:val="hybridMultilevel"/>
    <w:tmpl w:val="204E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F3B7BEA"/>
    <w:multiLevelType w:val="hybridMultilevel"/>
    <w:tmpl w:val="3ADC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F990CF8"/>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nsid w:val="6F9A46C5"/>
    <w:multiLevelType w:val="hybridMultilevel"/>
    <w:tmpl w:val="C75EDEF6"/>
    <w:lvl w:ilvl="0" w:tplc="C2C828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FC106E2"/>
    <w:multiLevelType w:val="hybridMultilevel"/>
    <w:tmpl w:val="8898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026293D"/>
    <w:multiLevelType w:val="hybridMultilevel"/>
    <w:tmpl w:val="19649540"/>
    <w:lvl w:ilvl="0" w:tplc="82488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0A36A28"/>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nsid w:val="71B20951"/>
    <w:multiLevelType w:val="hybridMultilevel"/>
    <w:tmpl w:val="4AD8ACDA"/>
    <w:lvl w:ilvl="0" w:tplc="501CAD5C">
      <w:start w:val="2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2CD6FB0"/>
    <w:multiLevelType w:val="hybridMultilevel"/>
    <w:tmpl w:val="B91CF9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53F3952"/>
    <w:multiLevelType w:val="hybridMultilevel"/>
    <w:tmpl w:val="70A26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5D25D8D"/>
    <w:multiLevelType w:val="hybridMultilevel"/>
    <w:tmpl w:val="F7586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7444D3C"/>
    <w:multiLevelType w:val="hybridMultilevel"/>
    <w:tmpl w:val="7C5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8440CA5"/>
    <w:multiLevelType w:val="hybridMultilevel"/>
    <w:tmpl w:val="4F2CA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8576337"/>
    <w:multiLevelType w:val="hybridMultilevel"/>
    <w:tmpl w:val="0CEC15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nsid w:val="786F79FC"/>
    <w:multiLevelType w:val="hybridMultilevel"/>
    <w:tmpl w:val="33BE5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8AA683A"/>
    <w:multiLevelType w:val="hybridMultilevel"/>
    <w:tmpl w:val="CA1C4E12"/>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9394CC5"/>
    <w:multiLevelType w:val="hybridMultilevel"/>
    <w:tmpl w:val="9CAAC084"/>
    <w:lvl w:ilvl="0" w:tplc="006C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9D36095"/>
    <w:multiLevelType w:val="hybridMultilevel"/>
    <w:tmpl w:val="0BD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9DB1FE2"/>
    <w:multiLevelType w:val="hybridMultilevel"/>
    <w:tmpl w:val="E844329C"/>
    <w:lvl w:ilvl="0" w:tplc="0409000F">
      <w:start w:val="1"/>
      <w:numFmt w:val="decimal"/>
      <w:lvlText w:val="%1."/>
      <w:lvlJc w:val="left"/>
      <w:pPr>
        <w:ind w:left="720" w:hanging="360"/>
      </w:pPr>
      <w:rPr>
        <w:rFonts w:hint="default"/>
      </w:rPr>
    </w:lvl>
    <w:lvl w:ilvl="1" w:tplc="F02C7D0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9FCC0DC">
      <w:start w:val="1"/>
      <w:numFmt w:val="lowerLetter"/>
      <w:lvlText w:val="%5."/>
      <w:lvlJc w:val="left"/>
      <w:pPr>
        <w:ind w:left="3600" w:hanging="360"/>
      </w:pPr>
      <w:rPr>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A73522B"/>
    <w:multiLevelType w:val="hybridMultilevel"/>
    <w:tmpl w:val="D2FEF8EE"/>
    <w:lvl w:ilvl="0" w:tplc="784EDD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A850219"/>
    <w:multiLevelType w:val="hybridMultilevel"/>
    <w:tmpl w:val="423C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B0A0A41"/>
    <w:multiLevelType w:val="hybridMultilevel"/>
    <w:tmpl w:val="190E6C62"/>
    <w:lvl w:ilvl="0" w:tplc="6ABAC006">
      <w:start w:val="1"/>
      <w:numFmt w:val="bullet"/>
      <w:lvlText w:val="•"/>
      <w:lvlJc w:val="left"/>
      <w:pPr>
        <w:tabs>
          <w:tab w:val="num" w:pos="360"/>
        </w:tabs>
        <w:ind w:left="360" w:hanging="360"/>
      </w:pPr>
      <w:rPr>
        <w:rFonts w:ascii="Arial" w:hAnsi="Arial" w:hint="default"/>
      </w:rPr>
    </w:lvl>
    <w:lvl w:ilvl="1" w:tplc="2EE45930" w:tentative="1">
      <w:start w:val="1"/>
      <w:numFmt w:val="bullet"/>
      <w:lvlText w:val="•"/>
      <w:lvlJc w:val="left"/>
      <w:pPr>
        <w:tabs>
          <w:tab w:val="num" w:pos="1080"/>
        </w:tabs>
        <w:ind w:left="1080" w:hanging="360"/>
      </w:pPr>
      <w:rPr>
        <w:rFonts w:ascii="Arial" w:hAnsi="Arial" w:hint="default"/>
      </w:rPr>
    </w:lvl>
    <w:lvl w:ilvl="2" w:tplc="DEE46A90" w:tentative="1">
      <w:start w:val="1"/>
      <w:numFmt w:val="bullet"/>
      <w:lvlText w:val="•"/>
      <w:lvlJc w:val="left"/>
      <w:pPr>
        <w:tabs>
          <w:tab w:val="num" w:pos="1800"/>
        </w:tabs>
        <w:ind w:left="1800" w:hanging="360"/>
      </w:pPr>
      <w:rPr>
        <w:rFonts w:ascii="Arial" w:hAnsi="Arial" w:hint="default"/>
      </w:rPr>
    </w:lvl>
    <w:lvl w:ilvl="3" w:tplc="9300D910" w:tentative="1">
      <w:start w:val="1"/>
      <w:numFmt w:val="bullet"/>
      <w:lvlText w:val="•"/>
      <w:lvlJc w:val="left"/>
      <w:pPr>
        <w:tabs>
          <w:tab w:val="num" w:pos="2520"/>
        </w:tabs>
        <w:ind w:left="2520" w:hanging="360"/>
      </w:pPr>
      <w:rPr>
        <w:rFonts w:ascii="Arial" w:hAnsi="Arial" w:hint="default"/>
      </w:rPr>
    </w:lvl>
    <w:lvl w:ilvl="4" w:tplc="DC066D1A" w:tentative="1">
      <w:start w:val="1"/>
      <w:numFmt w:val="bullet"/>
      <w:lvlText w:val="•"/>
      <w:lvlJc w:val="left"/>
      <w:pPr>
        <w:tabs>
          <w:tab w:val="num" w:pos="3240"/>
        </w:tabs>
        <w:ind w:left="3240" w:hanging="360"/>
      </w:pPr>
      <w:rPr>
        <w:rFonts w:ascii="Arial" w:hAnsi="Arial" w:hint="default"/>
      </w:rPr>
    </w:lvl>
    <w:lvl w:ilvl="5" w:tplc="108E6686" w:tentative="1">
      <w:start w:val="1"/>
      <w:numFmt w:val="bullet"/>
      <w:lvlText w:val="•"/>
      <w:lvlJc w:val="left"/>
      <w:pPr>
        <w:tabs>
          <w:tab w:val="num" w:pos="3960"/>
        </w:tabs>
        <w:ind w:left="3960" w:hanging="360"/>
      </w:pPr>
      <w:rPr>
        <w:rFonts w:ascii="Arial" w:hAnsi="Arial" w:hint="default"/>
      </w:rPr>
    </w:lvl>
    <w:lvl w:ilvl="6" w:tplc="B93A85F8" w:tentative="1">
      <w:start w:val="1"/>
      <w:numFmt w:val="bullet"/>
      <w:lvlText w:val="•"/>
      <w:lvlJc w:val="left"/>
      <w:pPr>
        <w:tabs>
          <w:tab w:val="num" w:pos="4680"/>
        </w:tabs>
        <w:ind w:left="4680" w:hanging="360"/>
      </w:pPr>
      <w:rPr>
        <w:rFonts w:ascii="Arial" w:hAnsi="Arial" w:hint="default"/>
      </w:rPr>
    </w:lvl>
    <w:lvl w:ilvl="7" w:tplc="F02682C6" w:tentative="1">
      <w:start w:val="1"/>
      <w:numFmt w:val="bullet"/>
      <w:lvlText w:val="•"/>
      <w:lvlJc w:val="left"/>
      <w:pPr>
        <w:tabs>
          <w:tab w:val="num" w:pos="5400"/>
        </w:tabs>
        <w:ind w:left="5400" w:hanging="360"/>
      </w:pPr>
      <w:rPr>
        <w:rFonts w:ascii="Arial" w:hAnsi="Arial" w:hint="default"/>
      </w:rPr>
    </w:lvl>
    <w:lvl w:ilvl="8" w:tplc="6032BF92" w:tentative="1">
      <w:start w:val="1"/>
      <w:numFmt w:val="bullet"/>
      <w:lvlText w:val="•"/>
      <w:lvlJc w:val="left"/>
      <w:pPr>
        <w:tabs>
          <w:tab w:val="num" w:pos="6120"/>
        </w:tabs>
        <w:ind w:left="6120" w:hanging="360"/>
      </w:pPr>
      <w:rPr>
        <w:rFonts w:ascii="Arial" w:hAnsi="Arial" w:hint="default"/>
      </w:rPr>
    </w:lvl>
  </w:abstractNum>
  <w:abstractNum w:abstractNumId="170">
    <w:nsid w:val="7B0D000E"/>
    <w:multiLevelType w:val="hybridMultilevel"/>
    <w:tmpl w:val="3E18A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B34507D"/>
    <w:multiLevelType w:val="hybridMultilevel"/>
    <w:tmpl w:val="44FCE512"/>
    <w:lvl w:ilvl="0" w:tplc="CF7A3936">
      <w:start w:val="41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2">
    <w:nsid w:val="7B8146AE"/>
    <w:multiLevelType w:val="hybridMultilevel"/>
    <w:tmpl w:val="42BC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BDE4D5F"/>
    <w:multiLevelType w:val="hybridMultilevel"/>
    <w:tmpl w:val="16FE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7BF6590E"/>
    <w:multiLevelType w:val="hybridMultilevel"/>
    <w:tmpl w:val="15E43F84"/>
    <w:lvl w:ilvl="0" w:tplc="1F148B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nsid w:val="7CAC37B3"/>
    <w:multiLevelType w:val="hybridMultilevel"/>
    <w:tmpl w:val="2EDE8454"/>
    <w:lvl w:ilvl="0" w:tplc="784EDD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D0A3B39"/>
    <w:multiLevelType w:val="hybridMultilevel"/>
    <w:tmpl w:val="7E0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E210877"/>
    <w:multiLevelType w:val="hybridMultilevel"/>
    <w:tmpl w:val="DF2A0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E6C3D1D"/>
    <w:multiLevelType w:val="hybridMultilevel"/>
    <w:tmpl w:val="5EB0E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EFF4B0C"/>
    <w:multiLevelType w:val="hybridMultilevel"/>
    <w:tmpl w:val="0BE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FC86358"/>
    <w:multiLevelType w:val="hybridMultilevel"/>
    <w:tmpl w:val="843EC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8"/>
  </w:num>
  <w:num w:numId="2">
    <w:abstractNumId w:val="105"/>
  </w:num>
  <w:num w:numId="3">
    <w:abstractNumId w:val="33"/>
  </w:num>
  <w:num w:numId="4">
    <w:abstractNumId w:val="95"/>
  </w:num>
  <w:num w:numId="5">
    <w:abstractNumId w:val="65"/>
  </w:num>
  <w:num w:numId="6">
    <w:abstractNumId w:val="144"/>
  </w:num>
  <w:num w:numId="7">
    <w:abstractNumId w:val="34"/>
  </w:num>
  <w:num w:numId="8">
    <w:abstractNumId w:val="83"/>
  </w:num>
  <w:num w:numId="9">
    <w:abstractNumId w:val="78"/>
  </w:num>
  <w:num w:numId="10">
    <w:abstractNumId w:val="109"/>
  </w:num>
  <w:num w:numId="11">
    <w:abstractNumId w:val="67"/>
  </w:num>
  <w:num w:numId="12">
    <w:abstractNumId w:val="175"/>
  </w:num>
  <w:num w:numId="13">
    <w:abstractNumId w:val="59"/>
  </w:num>
  <w:num w:numId="14">
    <w:abstractNumId w:val="166"/>
  </w:num>
  <w:num w:numId="15">
    <w:abstractNumId w:val="168"/>
  </w:num>
  <w:num w:numId="16">
    <w:abstractNumId w:val="145"/>
  </w:num>
  <w:num w:numId="17">
    <w:abstractNumId w:val="129"/>
  </w:num>
  <w:num w:numId="18">
    <w:abstractNumId w:val="71"/>
  </w:num>
  <w:num w:numId="19">
    <w:abstractNumId w:val="43"/>
  </w:num>
  <w:num w:numId="20">
    <w:abstractNumId w:val="96"/>
  </w:num>
  <w:num w:numId="21">
    <w:abstractNumId w:val="154"/>
  </w:num>
  <w:num w:numId="22">
    <w:abstractNumId w:val="55"/>
  </w:num>
  <w:num w:numId="23">
    <w:abstractNumId w:val="104"/>
  </w:num>
  <w:num w:numId="24">
    <w:abstractNumId w:val="180"/>
  </w:num>
  <w:num w:numId="25">
    <w:abstractNumId w:val="16"/>
  </w:num>
  <w:num w:numId="26">
    <w:abstractNumId w:val="97"/>
  </w:num>
  <w:num w:numId="27">
    <w:abstractNumId w:val="124"/>
  </w:num>
  <w:num w:numId="28">
    <w:abstractNumId w:val="150"/>
  </w:num>
  <w:num w:numId="29">
    <w:abstractNumId w:val="107"/>
  </w:num>
  <w:num w:numId="30">
    <w:abstractNumId w:val="111"/>
  </w:num>
  <w:num w:numId="31">
    <w:abstractNumId w:val="138"/>
  </w:num>
  <w:num w:numId="32">
    <w:abstractNumId w:val="90"/>
  </w:num>
  <w:num w:numId="33">
    <w:abstractNumId w:val="40"/>
  </w:num>
  <w:num w:numId="34">
    <w:abstractNumId w:val="89"/>
  </w:num>
  <w:num w:numId="35">
    <w:abstractNumId w:val="54"/>
  </w:num>
  <w:num w:numId="36">
    <w:abstractNumId w:val="82"/>
  </w:num>
  <w:num w:numId="37">
    <w:abstractNumId w:val="92"/>
  </w:num>
  <w:num w:numId="38">
    <w:abstractNumId w:val="9"/>
  </w:num>
  <w:num w:numId="39">
    <w:abstractNumId w:val="141"/>
  </w:num>
  <w:num w:numId="40">
    <w:abstractNumId w:val="171"/>
  </w:num>
  <w:num w:numId="41">
    <w:abstractNumId w:val="171"/>
  </w:num>
  <w:num w:numId="42">
    <w:abstractNumId w:val="80"/>
  </w:num>
  <w:num w:numId="43">
    <w:abstractNumId w:val="112"/>
  </w:num>
  <w:num w:numId="44">
    <w:abstractNumId w:val="62"/>
  </w:num>
  <w:num w:numId="45">
    <w:abstractNumId w:val="120"/>
  </w:num>
  <w:num w:numId="46">
    <w:abstractNumId w:val="86"/>
  </w:num>
  <w:num w:numId="47">
    <w:abstractNumId w:val="87"/>
  </w:num>
  <w:num w:numId="48">
    <w:abstractNumId w:val="26"/>
  </w:num>
  <w:num w:numId="49">
    <w:abstractNumId w:val="167"/>
  </w:num>
  <w:num w:numId="50">
    <w:abstractNumId w:val="35"/>
  </w:num>
  <w:num w:numId="51">
    <w:abstractNumId w:val="1"/>
  </w:num>
  <w:num w:numId="52">
    <w:abstractNumId w:val="91"/>
  </w:num>
  <w:num w:numId="53">
    <w:abstractNumId w:val="170"/>
  </w:num>
  <w:num w:numId="54">
    <w:abstractNumId w:val="119"/>
  </w:num>
  <w:num w:numId="55">
    <w:abstractNumId w:val="74"/>
  </w:num>
  <w:num w:numId="56">
    <w:abstractNumId w:val="162"/>
  </w:num>
  <w:num w:numId="57">
    <w:abstractNumId w:val="121"/>
  </w:num>
  <w:num w:numId="58">
    <w:abstractNumId w:val="21"/>
  </w:num>
  <w:num w:numId="59">
    <w:abstractNumId w:val="73"/>
  </w:num>
  <w:num w:numId="60">
    <w:abstractNumId w:val="72"/>
  </w:num>
  <w:num w:numId="61">
    <w:abstractNumId w:val="61"/>
  </w:num>
  <w:num w:numId="62">
    <w:abstractNumId w:val="84"/>
  </w:num>
  <w:num w:numId="63">
    <w:abstractNumId w:val="173"/>
  </w:num>
  <w:num w:numId="64">
    <w:abstractNumId w:val="165"/>
  </w:num>
  <w:num w:numId="65">
    <w:abstractNumId w:val="137"/>
  </w:num>
  <w:num w:numId="66">
    <w:abstractNumId w:val="103"/>
  </w:num>
  <w:num w:numId="67">
    <w:abstractNumId w:val="177"/>
  </w:num>
  <w:num w:numId="68">
    <w:abstractNumId w:val="52"/>
  </w:num>
  <w:num w:numId="69">
    <w:abstractNumId w:val="179"/>
  </w:num>
  <w:num w:numId="70">
    <w:abstractNumId w:val="53"/>
  </w:num>
  <w:num w:numId="71">
    <w:abstractNumId w:val="48"/>
  </w:num>
  <w:num w:numId="72">
    <w:abstractNumId w:val="136"/>
  </w:num>
  <w:num w:numId="73">
    <w:abstractNumId w:val="146"/>
  </w:num>
  <w:num w:numId="74">
    <w:abstractNumId w:val="131"/>
  </w:num>
  <w:num w:numId="75">
    <w:abstractNumId w:val="58"/>
  </w:num>
  <w:num w:numId="76">
    <w:abstractNumId w:val="169"/>
  </w:num>
  <w:num w:numId="77">
    <w:abstractNumId w:val="63"/>
  </w:num>
  <w:num w:numId="78">
    <w:abstractNumId w:val="32"/>
  </w:num>
  <w:num w:numId="79">
    <w:abstractNumId w:val="10"/>
  </w:num>
  <w:num w:numId="80">
    <w:abstractNumId w:val="135"/>
  </w:num>
  <w:num w:numId="81">
    <w:abstractNumId w:val="4"/>
  </w:num>
  <w:num w:numId="82">
    <w:abstractNumId w:val="115"/>
  </w:num>
  <w:num w:numId="83">
    <w:abstractNumId w:val="128"/>
  </w:num>
  <w:num w:numId="84">
    <w:abstractNumId w:val="41"/>
  </w:num>
  <w:num w:numId="85">
    <w:abstractNumId w:val="0"/>
  </w:num>
  <w:num w:numId="86">
    <w:abstractNumId w:val="22"/>
  </w:num>
  <w:num w:numId="87">
    <w:abstractNumId w:val="19"/>
  </w:num>
  <w:num w:numId="88">
    <w:abstractNumId w:val="11"/>
  </w:num>
  <w:num w:numId="89">
    <w:abstractNumId w:val="100"/>
  </w:num>
  <w:num w:numId="90">
    <w:abstractNumId w:val="99"/>
  </w:num>
  <w:num w:numId="91">
    <w:abstractNumId w:val="68"/>
  </w:num>
  <w:num w:numId="92">
    <w:abstractNumId w:val="174"/>
  </w:num>
  <w:num w:numId="93">
    <w:abstractNumId w:val="31"/>
  </w:num>
  <w:num w:numId="94">
    <w:abstractNumId w:val="142"/>
  </w:num>
  <w:num w:numId="95">
    <w:abstractNumId w:val="3"/>
  </w:num>
  <w:num w:numId="96">
    <w:abstractNumId w:val="93"/>
  </w:num>
  <w:num w:numId="97">
    <w:abstractNumId w:val="13"/>
  </w:num>
  <w:num w:numId="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9"/>
  </w:num>
  <w:num w:numId="100">
    <w:abstractNumId w:val="122"/>
  </w:num>
  <w:num w:numId="101">
    <w:abstractNumId w:val="20"/>
  </w:num>
  <w:num w:numId="102">
    <w:abstractNumId w:val="116"/>
  </w:num>
  <w:num w:numId="103">
    <w:abstractNumId w:val="130"/>
  </w:num>
  <w:num w:numId="104">
    <w:abstractNumId w:val="81"/>
  </w:num>
  <w:num w:numId="105">
    <w:abstractNumId w:val="132"/>
  </w:num>
  <w:num w:numId="106">
    <w:abstractNumId w:val="69"/>
  </w:num>
  <w:num w:numId="107">
    <w:abstractNumId w:val="75"/>
  </w:num>
  <w:num w:numId="108">
    <w:abstractNumId w:val="98"/>
  </w:num>
  <w:num w:numId="109">
    <w:abstractNumId w:val="148"/>
  </w:num>
  <w:num w:numId="110">
    <w:abstractNumId w:val="14"/>
  </w:num>
  <w:num w:numId="111">
    <w:abstractNumId w:val="70"/>
  </w:num>
  <w:num w:numId="11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6"/>
  </w:num>
  <w:num w:numId="114">
    <w:abstractNumId w:val="2"/>
  </w:num>
  <w:num w:numId="115">
    <w:abstractNumId w:val="133"/>
  </w:num>
  <w:num w:numId="116">
    <w:abstractNumId w:val="149"/>
  </w:num>
  <w:num w:numId="117">
    <w:abstractNumId w:val="37"/>
  </w:num>
  <w:num w:numId="118">
    <w:abstractNumId w:val="46"/>
  </w:num>
  <w:num w:numId="119">
    <w:abstractNumId w:val="50"/>
  </w:num>
  <w:num w:numId="120">
    <w:abstractNumId w:val="147"/>
  </w:num>
  <w:num w:numId="121">
    <w:abstractNumId w:val="176"/>
  </w:num>
  <w:num w:numId="122">
    <w:abstractNumId w:val="60"/>
  </w:num>
  <w:num w:numId="123">
    <w:abstractNumId w:val="152"/>
  </w:num>
  <w:num w:numId="124">
    <w:abstractNumId w:val="36"/>
  </w:num>
  <w:num w:numId="125">
    <w:abstractNumId w:val="102"/>
  </w:num>
  <w:num w:numId="126">
    <w:abstractNumId w:val="47"/>
  </w:num>
  <w:num w:numId="127">
    <w:abstractNumId w:val="76"/>
  </w:num>
  <w:num w:numId="128">
    <w:abstractNumId w:val="51"/>
  </w:num>
  <w:num w:numId="129">
    <w:abstractNumId w:val="29"/>
  </w:num>
  <w:num w:numId="130">
    <w:abstractNumId w:val="113"/>
  </w:num>
  <w:num w:numId="131">
    <w:abstractNumId w:val="15"/>
  </w:num>
  <w:num w:numId="132">
    <w:abstractNumId w:val="140"/>
  </w:num>
  <w:num w:numId="133">
    <w:abstractNumId w:val="159"/>
  </w:num>
  <w:num w:numId="134">
    <w:abstractNumId w:val="172"/>
  </w:num>
  <w:num w:numId="135">
    <w:abstractNumId w:val="143"/>
  </w:num>
  <w:num w:numId="136">
    <w:abstractNumId w:val="56"/>
  </w:num>
  <w:num w:numId="137">
    <w:abstractNumId w:val="49"/>
  </w:num>
  <w:num w:numId="138">
    <w:abstractNumId w:val="117"/>
  </w:num>
  <w:num w:numId="139">
    <w:abstractNumId w:val="42"/>
  </w:num>
  <w:num w:numId="140">
    <w:abstractNumId w:val="134"/>
  </w:num>
  <w:num w:numId="141">
    <w:abstractNumId w:val="6"/>
  </w:num>
  <w:num w:numId="142">
    <w:abstractNumId w:val="66"/>
  </w:num>
  <w:num w:numId="143">
    <w:abstractNumId w:val="28"/>
  </w:num>
  <w:num w:numId="144">
    <w:abstractNumId w:val="45"/>
  </w:num>
  <w:num w:numId="145">
    <w:abstractNumId w:val="17"/>
  </w:num>
  <w:num w:numId="146">
    <w:abstractNumId w:val="8"/>
  </w:num>
  <w:num w:numId="147">
    <w:abstractNumId w:val="18"/>
  </w:num>
  <w:num w:numId="148">
    <w:abstractNumId w:val="157"/>
  </w:num>
  <w:num w:numId="149">
    <w:abstractNumId w:val="88"/>
  </w:num>
  <w:num w:numId="150">
    <w:abstractNumId w:val="7"/>
  </w:num>
  <w:num w:numId="151">
    <w:abstractNumId w:val="12"/>
  </w:num>
  <w:num w:numId="152">
    <w:abstractNumId w:val="77"/>
  </w:num>
  <w:num w:numId="153">
    <w:abstractNumId w:val="108"/>
  </w:num>
  <w:num w:numId="154">
    <w:abstractNumId w:val="164"/>
  </w:num>
  <w:num w:numId="155">
    <w:abstractNumId w:val="39"/>
  </w:num>
  <w:num w:numId="156">
    <w:abstractNumId w:val="57"/>
  </w:num>
  <w:num w:numId="157">
    <w:abstractNumId w:val="94"/>
  </w:num>
  <w:num w:numId="158">
    <w:abstractNumId w:val="123"/>
  </w:num>
  <w:num w:numId="159">
    <w:abstractNumId w:val="5"/>
  </w:num>
  <w:num w:numId="160">
    <w:abstractNumId w:val="155"/>
  </w:num>
  <w:num w:numId="161">
    <w:abstractNumId w:val="126"/>
  </w:num>
  <w:num w:numId="162">
    <w:abstractNumId w:val="125"/>
  </w:num>
  <w:num w:numId="163">
    <w:abstractNumId w:val="161"/>
  </w:num>
  <w:num w:numId="164">
    <w:abstractNumId w:val="163"/>
  </w:num>
  <w:num w:numId="165">
    <w:abstractNumId w:val="156"/>
  </w:num>
  <w:num w:numId="166">
    <w:abstractNumId w:val="30"/>
  </w:num>
  <w:num w:numId="167">
    <w:abstractNumId w:val="127"/>
  </w:num>
  <w:num w:numId="168">
    <w:abstractNumId w:val="153"/>
  </w:num>
  <w:num w:numId="169">
    <w:abstractNumId w:val="101"/>
  </w:num>
  <w:num w:numId="170">
    <w:abstractNumId w:val="27"/>
  </w:num>
  <w:num w:numId="171">
    <w:abstractNumId w:val="158"/>
  </w:num>
  <w:num w:numId="172">
    <w:abstractNumId w:val="38"/>
  </w:num>
  <w:num w:numId="173">
    <w:abstractNumId w:val="64"/>
  </w:num>
  <w:num w:numId="174">
    <w:abstractNumId w:val="151"/>
  </w:num>
  <w:num w:numId="175">
    <w:abstractNumId w:val="178"/>
  </w:num>
  <w:num w:numId="176">
    <w:abstractNumId w:val="160"/>
  </w:num>
  <w:num w:numId="177">
    <w:abstractNumId w:val="23"/>
  </w:num>
  <w:num w:numId="178">
    <w:abstractNumId w:val="85"/>
  </w:num>
  <w:num w:numId="179">
    <w:abstractNumId w:val="114"/>
  </w:num>
  <w:num w:numId="180">
    <w:abstractNumId w:val="44"/>
  </w:num>
  <w:num w:numId="181">
    <w:abstractNumId w:val="79"/>
  </w:num>
  <w:num w:numId="182">
    <w:abstractNumId w:val="2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51"/>
    <w:rsid w:val="00000B30"/>
    <w:rsid w:val="00001E46"/>
    <w:rsid w:val="0000473E"/>
    <w:rsid w:val="00004DB9"/>
    <w:rsid w:val="00005E4D"/>
    <w:rsid w:val="00006565"/>
    <w:rsid w:val="00007B9A"/>
    <w:rsid w:val="00010E7D"/>
    <w:rsid w:val="00011825"/>
    <w:rsid w:val="00012295"/>
    <w:rsid w:val="00013BD4"/>
    <w:rsid w:val="0001418C"/>
    <w:rsid w:val="000144FA"/>
    <w:rsid w:val="00016DC9"/>
    <w:rsid w:val="000176D9"/>
    <w:rsid w:val="00021959"/>
    <w:rsid w:val="0002231D"/>
    <w:rsid w:val="000225B7"/>
    <w:rsid w:val="00022E01"/>
    <w:rsid w:val="00025D0D"/>
    <w:rsid w:val="00026228"/>
    <w:rsid w:val="0002684D"/>
    <w:rsid w:val="00026DEB"/>
    <w:rsid w:val="000271AB"/>
    <w:rsid w:val="000273FE"/>
    <w:rsid w:val="000315E4"/>
    <w:rsid w:val="00031606"/>
    <w:rsid w:val="00032592"/>
    <w:rsid w:val="000350E1"/>
    <w:rsid w:val="000355F6"/>
    <w:rsid w:val="0003771C"/>
    <w:rsid w:val="00040F79"/>
    <w:rsid w:val="000428FA"/>
    <w:rsid w:val="00043D2C"/>
    <w:rsid w:val="00044D49"/>
    <w:rsid w:val="000455F8"/>
    <w:rsid w:val="0004741A"/>
    <w:rsid w:val="00047C7F"/>
    <w:rsid w:val="00047EE5"/>
    <w:rsid w:val="0005001B"/>
    <w:rsid w:val="0005165F"/>
    <w:rsid w:val="0005190E"/>
    <w:rsid w:val="00052729"/>
    <w:rsid w:val="000532C9"/>
    <w:rsid w:val="000536E8"/>
    <w:rsid w:val="00054F62"/>
    <w:rsid w:val="00061CDC"/>
    <w:rsid w:val="00062394"/>
    <w:rsid w:val="000624C5"/>
    <w:rsid w:val="00063AE9"/>
    <w:rsid w:val="000646F1"/>
    <w:rsid w:val="00066734"/>
    <w:rsid w:val="00070070"/>
    <w:rsid w:val="0007116F"/>
    <w:rsid w:val="0007215D"/>
    <w:rsid w:val="00074A71"/>
    <w:rsid w:val="00074DF2"/>
    <w:rsid w:val="00074EA8"/>
    <w:rsid w:val="0007519F"/>
    <w:rsid w:val="00075F96"/>
    <w:rsid w:val="00082B23"/>
    <w:rsid w:val="0008589B"/>
    <w:rsid w:val="00086005"/>
    <w:rsid w:val="000864E4"/>
    <w:rsid w:val="00090B80"/>
    <w:rsid w:val="00090F9E"/>
    <w:rsid w:val="0009128D"/>
    <w:rsid w:val="00092E49"/>
    <w:rsid w:val="000940E1"/>
    <w:rsid w:val="000942C1"/>
    <w:rsid w:val="000A11D8"/>
    <w:rsid w:val="000A157E"/>
    <w:rsid w:val="000A70A3"/>
    <w:rsid w:val="000B114F"/>
    <w:rsid w:val="000B1DE1"/>
    <w:rsid w:val="000B2D5A"/>
    <w:rsid w:val="000B2D61"/>
    <w:rsid w:val="000B3EF5"/>
    <w:rsid w:val="000B4087"/>
    <w:rsid w:val="000B5F32"/>
    <w:rsid w:val="000B626C"/>
    <w:rsid w:val="000B7A02"/>
    <w:rsid w:val="000C23D9"/>
    <w:rsid w:val="000C47AB"/>
    <w:rsid w:val="000C5B25"/>
    <w:rsid w:val="000C7CDE"/>
    <w:rsid w:val="000D0217"/>
    <w:rsid w:val="000D04B4"/>
    <w:rsid w:val="000D0D85"/>
    <w:rsid w:val="000D217C"/>
    <w:rsid w:val="000D2986"/>
    <w:rsid w:val="000D44C2"/>
    <w:rsid w:val="000D6BE5"/>
    <w:rsid w:val="000D7CC2"/>
    <w:rsid w:val="000E1A3C"/>
    <w:rsid w:val="000E1D90"/>
    <w:rsid w:val="000E1FBB"/>
    <w:rsid w:val="000E2750"/>
    <w:rsid w:val="000E53B7"/>
    <w:rsid w:val="000E5CA4"/>
    <w:rsid w:val="000E6EF1"/>
    <w:rsid w:val="000F2E0E"/>
    <w:rsid w:val="000F32CB"/>
    <w:rsid w:val="000F500B"/>
    <w:rsid w:val="000F6A74"/>
    <w:rsid w:val="00101857"/>
    <w:rsid w:val="0010189A"/>
    <w:rsid w:val="00104DAA"/>
    <w:rsid w:val="00110F2F"/>
    <w:rsid w:val="0011171D"/>
    <w:rsid w:val="00111B52"/>
    <w:rsid w:val="00112421"/>
    <w:rsid w:val="00114BE3"/>
    <w:rsid w:val="0011573F"/>
    <w:rsid w:val="001174D6"/>
    <w:rsid w:val="00120FC3"/>
    <w:rsid w:val="00123A2D"/>
    <w:rsid w:val="00124B53"/>
    <w:rsid w:val="0012505F"/>
    <w:rsid w:val="001255CC"/>
    <w:rsid w:val="0012738A"/>
    <w:rsid w:val="00127882"/>
    <w:rsid w:val="001319DD"/>
    <w:rsid w:val="00131D7B"/>
    <w:rsid w:val="00134F9B"/>
    <w:rsid w:val="00136B1A"/>
    <w:rsid w:val="00140065"/>
    <w:rsid w:val="00141A38"/>
    <w:rsid w:val="00142A11"/>
    <w:rsid w:val="00144B3A"/>
    <w:rsid w:val="001453BF"/>
    <w:rsid w:val="00145AE9"/>
    <w:rsid w:val="001461CB"/>
    <w:rsid w:val="00147138"/>
    <w:rsid w:val="001504B4"/>
    <w:rsid w:val="00154974"/>
    <w:rsid w:val="00156557"/>
    <w:rsid w:val="001570C2"/>
    <w:rsid w:val="0015757C"/>
    <w:rsid w:val="00157E92"/>
    <w:rsid w:val="00160764"/>
    <w:rsid w:val="00161207"/>
    <w:rsid w:val="00161646"/>
    <w:rsid w:val="00161919"/>
    <w:rsid w:val="00166405"/>
    <w:rsid w:val="00166B15"/>
    <w:rsid w:val="00166F48"/>
    <w:rsid w:val="0016776E"/>
    <w:rsid w:val="00167D54"/>
    <w:rsid w:val="00170E04"/>
    <w:rsid w:val="00170ECB"/>
    <w:rsid w:val="0017102F"/>
    <w:rsid w:val="00173963"/>
    <w:rsid w:val="00173DCE"/>
    <w:rsid w:val="00174AF0"/>
    <w:rsid w:val="001758D1"/>
    <w:rsid w:val="00176A29"/>
    <w:rsid w:val="00177CC1"/>
    <w:rsid w:val="001805D9"/>
    <w:rsid w:val="00180D41"/>
    <w:rsid w:val="00185197"/>
    <w:rsid w:val="00186874"/>
    <w:rsid w:val="00187EA2"/>
    <w:rsid w:val="001916D6"/>
    <w:rsid w:val="001928BE"/>
    <w:rsid w:val="0019297A"/>
    <w:rsid w:val="00193AC1"/>
    <w:rsid w:val="00195177"/>
    <w:rsid w:val="00195679"/>
    <w:rsid w:val="001A030C"/>
    <w:rsid w:val="001A12AC"/>
    <w:rsid w:val="001A38C9"/>
    <w:rsid w:val="001A5DB0"/>
    <w:rsid w:val="001A6BF6"/>
    <w:rsid w:val="001A6D5F"/>
    <w:rsid w:val="001A7E54"/>
    <w:rsid w:val="001B045F"/>
    <w:rsid w:val="001B0E80"/>
    <w:rsid w:val="001B1BA2"/>
    <w:rsid w:val="001B1F5C"/>
    <w:rsid w:val="001B3732"/>
    <w:rsid w:val="001B4AD4"/>
    <w:rsid w:val="001B67B8"/>
    <w:rsid w:val="001B7506"/>
    <w:rsid w:val="001C090E"/>
    <w:rsid w:val="001C1320"/>
    <w:rsid w:val="001C32CC"/>
    <w:rsid w:val="001C3921"/>
    <w:rsid w:val="001C3C30"/>
    <w:rsid w:val="001C565B"/>
    <w:rsid w:val="001C6C42"/>
    <w:rsid w:val="001C77DD"/>
    <w:rsid w:val="001D1406"/>
    <w:rsid w:val="001D176A"/>
    <w:rsid w:val="001D208A"/>
    <w:rsid w:val="001D5C5C"/>
    <w:rsid w:val="001D5E3B"/>
    <w:rsid w:val="001E2386"/>
    <w:rsid w:val="001E24A3"/>
    <w:rsid w:val="001E297C"/>
    <w:rsid w:val="001E3DF4"/>
    <w:rsid w:val="001E45E1"/>
    <w:rsid w:val="001E4779"/>
    <w:rsid w:val="001E4ADD"/>
    <w:rsid w:val="001E4E9D"/>
    <w:rsid w:val="001E5D61"/>
    <w:rsid w:val="001F2237"/>
    <w:rsid w:val="001F225F"/>
    <w:rsid w:val="001F6F02"/>
    <w:rsid w:val="001F71C6"/>
    <w:rsid w:val="001F7B8B"/>
    <w:rsid w:val="002002BE"/>
    <w:rsid w:val="00200CB5"/>
    <w:rsid w:val="002017EC"/>
    <w:rsid w:val="002018C8"/>
    <w:rsid w:val="00203F11"/>
    <w:rsid w:val="00204F94"/>
    <w:rsid w:val="00207675"/>
    <w:rsid w:val="00210675"/>
    <w:rsid w:val="002162B0"/>
    <w:rsid w:val="00217ED8"/>
    <w:rsid w:val="0022005D"/>
    <w:rsid w:val="0022016A"/>
    <w:rsid w:val="002202BA"/>
    <w:rsid w:val="002216A4"/>
    <w:rsid w:val="00222716"/>
    <w:rsid w:val="00222F27"/>
    <w:rsid w:val="0022303F"/>
    <w:rsid w:val="00224314"/>
    <w:rsid w:val="00224DF4"/>
    <w:rsid w:val="00226E86"/>
    <w:rsid w:val="002348AD"/>
    <w:rsid w:val="00235B96"/>
    <w:rsid w:val="00236373"/>
    <w:rsid w:val="00241D9D"/>
    <w:rsid w:val="00245699"/>
    <w:rsid w:val="00247856"/>
    <w:rsid w:val="00247FF3"/>
    <w:rsid w:val="00251911"/>
    <w:rsid w:val="00256F24"/>
    <w:rsid w:val="002573AC"/>
    <w:rsid w:val="00262A96"/>
    <w:rsid w:val="00267AC0"/>
    <w:rsid w:val="0027047B"/>
    <w:rsid w:val="00270CA8"/>
    <w:rsid w:val="002740B9"/>
    <w:rsid w:val="00274532"/>
    <w:rsid w:val="00276811"/>
    <w:rsid w:val="00276E31"/>
    <w:rsid w:val="002800C1"/>
    <w:rsid w:val="002803E2"/>
    <w:rsid w:val="00280A6F"/>
    <w:rsid w:val="00282D70"/>
    <w:rsid w:val="00284155"/>
    <w:rsid w:val="00284700"/>
    <w:rsid w:val="00285118"/>
    <w:rsid w:val="00285EA4"/>
    <w:rsid w:val="00290CE5"/>
    <w:rsid w:val="0029321C"/>
    <w:rsid w:val="00297C09"/>
    <w:rsid w:val="00297F32"/>
    <w:rsid w:val="002A068C"/>
    <w:rsid w:val="002A1B50"/>
    <w:rsid w:val="002A25A2"/>
    <w:rsid w:val="002A3B5E"/>
    <w:rsid w:val="002A3CF4"/>
    <w:rsid w:val="002A4DDB"/>
    <w:rsid w:val="002A58D9"/>
    <w:rsid w:val="002A6662"/>
    <w:rsid w:val="002A753F"/>
    <w:rsid w:val="002A7A46"/>
    <w:rsid w:val="002B2073"/>
    <w:rsid w:val="002B2832"/>
    <w:rsid w:val="002B2CFF"/>
    <w:rsid w:val="002B2F76"/>
    <w:rsid w:val="002B66FC"/>
    <w:rsid w:val="002C0BFA"/>
    <w:rsid w:val="002C4124"/>
    <w:rsid w:val="002C4DAA"/>
    <w:rsid w:val="002C5540"/>
    <w:rsid w:val="002C690E"/>
    <w:rsid w:val="002C7008"/>
    <w:rsid w:val="002D2D60"/>
    <w:rsid w:val="002D3484"/>
    <w:rsid w:val="002D370D"/>
    <w:rsid w:val="002D3EB6"/>
    <w:rsid w:val="002D3F13"/>
    <w:rsid w:val="002D41A9"/>
    <w:rsid w:val="002D421D"/>
    <w:rsid w:val="002D432F"/>
    <w:rsid w:val="002D45F7"/>
    <w:rsid w:val="002D4953"/>
    <w:rsid w:val="002D5A61"/>
    <w:rsid w:val="002D606C"/>
    <w:rsid w:val="002D713B"/>
    <w:rsid w:val="002E0449"/>
    <w:rsid w:val="002E0B0A"/>
    <w:rsid w:val="002E32E9"/>
    <w:rsid w:val="002E4705"/>
    <w:rsid w:val="002E4D53"/>
    <w:rsid w:val="002E5162"/>
    <w:rsid w:val="002E63AF"/>
    <w:rsid w:val="002F1BEF"/>
    <w:rsid w:val="002F1DA1"/>
    <w:rsid w:val="002F21A3"/>
    <w:rsid w:val="002F4136"/>
    <w:rsid w:val="002F6183"/>
    <w:rsid w:val="0030043E"/>
    <w:rsid w:val="00300693"/>
    <w:rsid w:val="00303F61"/>
    <w:rsid w:val="0030481B"/>
    <w:rsid w:val="003074FD"/>
    <w:rsid w:val="00307B9C"/>
    <w:rsid w:val="00310506"/>
    <w:rsid w:val="003119BD"/>
    <w:rsid w:val="00312B8F"/>
    <w:rsid w:val="00314E24"/>
    <w:rsid w:val="00314F15"/>
    <w:rsid w:val="003155F9"/>
    <w:rsid w:val="0031642A"/>
    <w:rsid w:val="00317331"/>
    <w:rsid w:val="00317916"/>
    <w:rsid w:val="00317B54"/>
    <w:rsid w:val="00321380"/>
    <w:rsid w:val="00321489"/>
    <w:rsid w:val="00321C09"/>
    <w:rsid w:val="00323462"/>
    <w:rsid w:val="0032374C"/>
    <w:rsid w:val="00324F03"/>
    <w:rsid w:val="0032520C"/>
    <w:rsid w:val="003263CA"/>
    <w:rsid w:val="00330793"/>
    <w:rsid w:val="00331FD2"/>
    <w:rsid w:val="0033291C"/>
    <w:rsid w:val="00332B4B"/>
    <w:rsid w:val="003361EE"/>
    <w:rsid w:val="003376DC"/>
    <w:rsid w:val="00341A99"/>
    <w:rsid w:val="0034466D"/>
    <w:rsid w:val="00347379"/>
    <w:rsid w:val="0035002B"/>
    <w:rsid w:val="003506B3"/>
    <w:rsid w:val="003506CA"/>
    <w:rsid w:val="003507E9"/>
    <w:rsid w:val="0035133A"/>
    <w:rsid w:val="00351BD3"/>
    <w:rsid w:val="003526DE"/>
    <w:rsid w:val="0035406D"/>
    <w:rsid w:val="00355BC3"/>
    <w:rsid w:val="00356875"/>
    <w:rsid w:val="0035720D"/>
    <w:rsid w:val="00357E73"/>
    <w:rsid w:val="00360D4D"/>
    <w:rsid w:val="003615C8"/>
    <w:rsid w:val="00362643"/>
    <w:rsid w:val="00363E96"/>
    <w:rsid w:val="0036525D"/>
    <w:rsid w:val="003655E7"/>
    <w:rsid w:val="00365B17"/>
    <w:rsid w:val="003721B2"/>
    <w:rsid w:val="00372AD0"/>
    <w:rsid w:val="00372E94"/>
    <w:rsid w:val="003751AC"/>
    <w:rsid w:val="00375467"/>
    <w:rsid w:val="00376B1C"/>
    <w:rsid w:val="00377290"/>
    <w:rsid w:val="00377718"/>
    <w:rsid w:val="00381653"/>
    <w:rsid w:val="003818DD"/>
    <w:rsid w:val="00383413"/>
    <w:rsid w:val="00383AB9"/>
    <w:rsid w:val="00384F1B"/>
    <w:rsid w:val="00391125"/>
    <w:rsid w:val="003935F8"/>
    <w:rsid w:val="00395A5F"/>
    <w:rsid w:val="00396755"/>
    <w:rsid w:val="00397BAB"/>
    <w:rsid w:val="00397C59"/>
    <w:rsid w:val="003A0865"/>
    <w:rsid w:val="003A5DF6"/>
    <w:rsid w:val="003A5F64"/>
    <w:rsid w:val="003A6820"/>
    <w:rsid w:val="003A6B9B"/>
    <w:rsid w:val="003A6E72"/>
    <w:rsid w:val="003A75EF"/>
    <w:rsid w:val="003A799C"/>
    <w:rsid w:val="003B5C3B"/>
    <w:rsid w:val="003B6D48"/>
    <w:rsid w:val="003B7054"/>
    <w:rsid w:val="003B7601"/>
    <w:rsid w:val="003C014F"/>
    <w:rsid w:val="003C025D"/>
    <w:rsid w:val="003C13CD"/>
    <w:rsid w:val="003C1439"/>
    <w:rsid w:val="003C27AE"/>
    <w:rsid w:val="003C3FF1"/>
    <w:rsid w:val="003C4E5C"/>
    <w:rsid w:val="003C650B"/>
    <w:rsid w:val="003D2C9E"/>
    <w:rsid w:val="003D2EB7"/>
    <w:rsid w:val="003D371A"/>
    <w:rsid w:val="003D3BBE"/>
    <w:rsid w:val="003D5FC9"/>
    <w:rsid w:val="003D6722"/>
    <w:rsid w:val="003D7D6B"/>
    <w:rsid w:val="003E1134"/>
    <w:rsid w:val="003E1881"/>
    <w:rsid w:val="003E4615"/>
    <w:rsid w:val="003E50A6"/>
    <w:rsid w:val="003E565B"/>
    <w:rsid w:val="003F2070"/>
    <w:rsid w:val="003F2493"/>
    <w:rsid w:val="003F3C5D"/>
    <w:rsid w:val="003F3EB0"/>
    <w:rsid w:val="003F48A4"/>
    <w:rsid w:val="003F62A9"/>
    <w:rsid w:val="003F7B1C"/>
    <w:rsid w:val="00402A09"/>
    <w:rsid w:val="00402F7E"/>
    <w:rsid w:val="0040346A"/>
    <w:rsid w:val="0040510F"/>
    <w:rsid w:val="004067E8"/>
    <w:rsid w:val="00410A95"/>
    <w:rsid w:val="00410EC2"/>
    <w:rsid w:val="00412AA6"/>
    <w:rsid w:val="00414936"/>
    <w:rsid w:val="0041663C"/>
    <w:rsid w:val="00417126"/>
    <w:rsid w:val="004203E8"/>
    <w:rsid w:val="004210A8"/>
    <w:rsid w:val="00421AA3"/>
    <w:rsid w:val="00421DFC"/>
    <w:rsid w:val="004236D7"/>
    <w:rsid w:val="004249AB"/>
    <w:rsid w:val="004264F2"/>
    <w:rsid w:val="00426693"/>
    <w:rsid w:val="004268ED"/>
    <w:rsid w:val="00431720"/>
    <w:rsid w:val="00431EE2"/>
    <w:rsid w:val="00431EED"/>
    <w:rsid w:val="0043240F"/>
    <w:rsid w:val="004326B6"/>
    <w:rsid w:val="00432A08"/>
    <w:rsid w:val="00433170"/>
    <w:rsid w:val="00434FFA"/>
    <w:rsid w:val="00435EEB"/>
    <w:rsid w:val="00437686"/>
    <w:rsid w:val="004413A8"/>
    <w:rsid w:val="00445A18"/>
    <w:rsid w:val="00447FAE"/>
    <w:rsid w:val="00452730"/>
    <w:rsid w:val="00453977"/>
    <w:rsid w:val="004544E9"/>
    <w:rsid w:val="004557B6"/>
    <w:rsid w:val="00463B8A"/>
    <w:rsid w:val="0046455F"/>
    <w:rsid w:val="0046456F"/>
    <w:rsid w:val="00466FEB"/>
    <w:rsid w:val="004671BF"/>
    <w:rsid w:val="00470925"/>
    <w:rsid w:val="00473103"/>
    <w:rsid w:val="004755E3"/>
    <w:rsid w:val="00476F0F"/>
    <w:rsid w:val="004809C6"/>
    <w:rsid w:val="00481227"/>
    <w:rsid w:val="00481CB5"/>
    <w:rsid w:val="00481CE2"/>
    <w:rsid w:val="00483187"/>
    <w:rsid w:val="00483EB7"/>
    <w:rsid w:val="00484292"/>
    <w:rsid w:val="004854E2"/>
    <w:rsid w:val="00486253"/>
    <w:rsid w:val="0048794B"/>
    <w:rsid w:val="00487C97"/>
    <w:rsid w:val="00490B10"/>
    <w:rsid w:val="00490E63"/>
    <w:rsid w:val="00491B4B"/>
    <w:rsid w:val="0049227B"/>
    <w:rsid w:val="004928D4"/>
    <w:rsid w:val="00493FCF"/>
    <w:rsid w:val="004953FD"/>
    <w:rsid w:val="00495D09"/>
    <w:rsid w:val="00496883"/>
    <w:rsid w:val="00497020"/>
    <w:rsid w:val="004A1106"/>
    <w:rsid w:val="004A36CF"/>
    <w:rsid w:val="004A4FA3"/>
    <w:rsid w:val="004A5279"/>
    <w:rsid w:val="004A5483"/>
    <w:rsid w:val="004A6F22"/>
    <w:rsid w:val="004B0CFF"/>
    <w:rsid w:val="004B0DD6"/>
    <w:rsid w:val="004B2294"/>
    <w:rsid w:val="004B2814"/>
    <w:rsid w:val="004B38BF"/>
    <w:rsid w:val="004B3A73"/>
    <w:rsid w:val="004B53E2"/>
    <w:rsid w:val="004B7BAA"/>
    <w:rsid w:val="004B7D7F"/>
    <w:rsid w:val="004C1BD0"/>
    <w:rsid w:val="004C5CFB"/>
    <w:rsid w:val="004C7D24"/>
    <w:rsid w:val="004D1DA7"/>
    <w:rsid w:val="004D2454"/>
    <w:rsid w:val="004D3BF1"/>
    <w:rsid w:val="004D68AB"/>
    <w:rsid w:val="004D71F5"/>
    <w:rsid w:val="004E0E6A"/>
    <w:rsid w:val="004E1180"/>
    <w:rsid w:val="004E1419"/>
    <w:rsid w:val="004E1891"/>
    <w:rsid w:val="004E371F"/>
    <w:rsid w:val="004E38FD"/>
    <w:rsid w:val="004E399E"/>
    <w:rsid w:val="004E3E9A"/>
    <w:rsid w:val="004E71C5"/>
    <w:rsid w:val="004F1BB6"/>
    <w:rsid w:val="004F34A5"/>
    <w:rsid w:val="004F5295"/>
    <w:rsid w:val="004F6346"/>
    <w:rsid w:val="004F79FC"/>
    <w:rsid w:val="0050040C"/>
    <w:rsid w:val="0050249F"/>
    <w:rsid w:val="00502669"/>
    <w:rsid w:val="00502F55"/>
    <w:rsid w:val="00504F2F"/>
    <w:rsid w:val="00504FD3"/>
    <w:rsid w:val="005051F7"/>
    <w:rsid w:val="00507194"/>
    <w:rsid w:val="00507607"/>
    <w:rsid w:val="005077B0"/>
    <w:rsid w:val="00507B90"/>
    <w:rsid w:val="00510994"/>
    <w:rsid w:val="0051117D"/>
    <w:rsid w:val="00511C25"/>
    <w:rsid w:val="00512397"/>
    <w:rsid w:val="00513370"/>
    <w:rsid w:val="00513704"/>
    <w:rsid w:val="00513ED1"/>
    <w:rsid w:val="00515C55"/>
    <w:rsid w:val="005168FC"/>
    <w:rsid w:val="00516A45"/>
    <w:rsid w:val="00516D08"/>
    <w:rsid w:val="00516D3A"/>
    <w:rsid w:val="0051752E"/>
    <w:rsid w:val="00521C45"/>
    <w:rsid w:val="00522C37"/>
    <w:rsid w:val="00523F7C"/>
    <w:rsid w:val="005251EF"/>
    <w:rsid w:val="005268DB"/>
    <w:rsid w:val="00531D6E"/>
    <w:rsid w:val="00534952"/>
    <w:rsid w:val="00534C66"/>
    <w:rsid w:val="00535F4E"/>
    <w:rsid w:val="00537C61"/>
    <w:rsid w:val="005400DD"/>
    <w:rsid w:val="005412BD"/>
    <w:rsid w:val="0054212B"/>
    <w:rsid w:val="0054260A"/>
    <w:rsid w:val="00542F7B"/>
    <w:rsid w:val="00544702"/>
    <w:rsid w:val="005453EF"/>
    <w:rsid w:val="005466C5"/>
    <w:rsid w:val="005467E6"/>
    <w:rsid w:val="0054702B"/>
    <w:rsid w:val="00550625"/>
    <w:rsid w:val="005507A4"/>
    <w:rsid w:val="0055163D"/>
    <w:rsid w:val="005524FC"/>
    <w:rsid w:val="00553E8A"/>
    <w:rsid w:val="005548E9"/>
    <w:rsid w:val="00554C0B"/>
    <w:rsid w:val="0055510A"/>
    <w:rsid w:val="005567AE"/>
    <w:rsid w:val="00560A42"/>
    <w:rsid w:val="00560C94"/>
    <w:rsid w:val="005615BA"/>
    <w:rsid w:val="00562577"/>
    <w:rsid w:val="00566EAB"/>
    <w:rsid w:val="005704AE"/>
    <w:rsid w:val="00572018"/>
    <w:rsid w:val="005726A9"/>
    <w:rsid w:val="005729D6"/>
    <w:rsid w:val="00573468"/>
    <w:rsid w:val="005739B5"/>
    <w:rsid w:val="005741F1"/>
    <w:rsid w:val="0057486E"/>
    <w:rsid w:val="00575861"/>
    <w:rsid w:val="005761A1"/>
    <w:rsid w:val="0058154D"/>
    <w:rsid w:val="005826C8"/>
    <w:rsid w:val="00582703"/>
    <w:rsid w:val="00584C09"/>
    <w:rsid w:val="005866DE"/>
    <w:rsid w:val="0058712C"/>
    <w:rsid w:val="005914BD"/>
    <w:rsid w:val="0059185E"/>
    <w:rsid w:val="00593F8D"/>
    <w:rsid w:val="005957A9"/>
    <w:rsid w:val="00595A0B"/>
    <w:rsid w:val="005966D9"/>
    <w:rsid w:val="00596DA5"/>
    <w:rsid w:val="00597FF3"/>
    <w:rsid w:val="005A0317"/>
    <w:rsid w:val="005A0DC5"/>
    <w:rsid w:val="005A2A51"/>
    <w:rsid w:val="005A3C5F"/>
    <w:rsid w:val="005A7E1E"/>
    <w:rsid w:val="005B1281"/>
    <w:rsid w:val="005B28B8"/>
    <w:rsid w:val="005B3342"/>
    <w:rsid w:val="005B5CA5"/>
    <w:rsid w:val="005B5F13"/>
    <w:rsid w:val="005C1431"/>
    <w:rsid w:val="005C2774"/>
    <w:rsid w:val="005C3344"/>
    <w:rsid w:val="005C3615"/>
    <w:rsid w:val="005C45FC"/>
    <w:rsid w:val="005C4F84"/>
    <w:rsid w:val="005D0C26"/>
    <w:rsid w:val="005D146D"/>
    <w:rsid w:val="005D26C0"/>
    <w:rsid w:val="005D3705"/>
    <w:rsid w:val="005D5407"/>
    <w:rsid w:val="005D6DF1"/>
    <w:rsid w:val="005E0835"/>
    <w:rsid w:val="005E0B77"/>
    <w:rsid w:val="005E138C"/>
    <w:rsid w:val="005E33C7"/>
    <w:rsid w:val="005E45F3"/>
    <w:rsid w:val="005E56DE"/>
    <w:rsid w:val="005F32BD"/>
    <w:rsid w:val="005F3CF7"/>
    <w:rsid w:val="005F4D6E"/>
    <w:rsid w:val="005F5195"/>
    <w:rsid w:val="005F537D"/>
    <w:rsid w:val="005F5FFD"/>
    <w:rsid w:val="005F6D59"/>
    <w:rsid w:val="005F789D"/>
    <w:rsid w:val="005F7E7C"/>
    <w:rsid w:val="0060127B"/>
    <w:rsid w:val="0060344A"/>
    <w:rsid w:val="0060350A"/>
    <w:rsid w:val="0060470B"/>
    <w:rsid w:val="00604D0B"/>
    <w:rsid w:val="00605D31"/>
    <w:rsid w:val="00606A78"/>
    <w:rsid w:val="00606A85"/>
    <w:rsid w:val="006140C7"/>
    <w:rsid w:val="00614158"/>
    <w:rsid w:val="0061447C"/>
    <w:rsid w:val="0061488F"/>
    <w:rsid w:val="00615174"/>
    <w:rsid w:val="0061536B"/>
    <w:rsid w:val="006166D6"/>
    <w:rsid w:val="00616E64"/>
    <w:rsid w:val="0061783E"/>
    <w:rsid w:val="00617845"/>
    <w:rsid w:val="0062192F"/>
    <w:rsid w:val="006237A1"/>
    <w:rsid w:val="00623A1A"/>
    <w:rsid w:val="00623ADB"/>
    <w:rsid w:val="00623F94"/>
    <w:rsid w:val="006244D6"/>
    <w:rsid w:val="00630B7D"/>
    <w:rsid w:val="00630E0D"/>
    <w:rsid w:val="0063258D"/>
    <w:rsid w:val="00633455"/>
    <w:rsid w:val="00633DC4"/>
    <w:rsid w:val="00634638"/>
    <w:rsid w:val="00634AE5"/>
    <w:rsid w:val="0063551C"/>
    <w:rsid w:val="00635A05"/>
    <w:rsid w:val="00635F8B"/>
    <w:rsid w:val="0063670B"/>
    <w:rsid w:val="006373A3"/>
    <w:rsid w:val="00640C63"/>
    <w:rsid w:val="0064145E"/>
    <w:rsid w:val="006421AA"/>
    <w:rsid w:val="00645E9E"/>
    <w:rsid w:val="0064686E"/>
    <w:rsid w:val="00646B5C"/>
    <w:rsid w:val="00647007"/>
    <w:rsid w:val="00647509"/>
    <w:rsid w:val="00647995"/>
    <w:rsid w:val="006479E4"/>
    <w:rsid w:val="006505CE"/>
    <w:rsid w:val="00652237"/>
    <w:rsid w:val="00652563"/>
    <w:rsid w:val="00652F52"/>
    <w:rsid w:val="00655108"/>
    <w:rsid w:val="0065678D"/>
    <w:rsid w:val="00656B82"/>
    <w:rsid w:val="006575F7"/>
    <w:rsid w:val="00657EE1"/>
    <w:rsid w:val="0066198B"/>
    <w:rsid w:val="006621CE"/>
    <w:rsid w:val="00664147"/>
    <w:rsid w:val="006645D7"/>
    <w:rsid w:val="006655FC"/>
    <w:rsid w:val="00667217"/>
    <w:rsid w:val="006675C7"/>
    <w:rsid w:val="00667DFE"/>
    <w:rsid w:val="006748E8"/>
    <w:rsid w:val="006768A6"/>
    <w:rsid w:val="006804C4"/>
    <w:rsid w:val="006809CE"/>
    <w:rsid w:val="00680E48"/>
    <w:rsid w:val="00681159"/>
    <w:rsid w:val="00682126"/>
    <w:rsid w:val="006821B5"/>
    <w:rsid w:val="006822E9"/>
    <w:rsid w:val="00682BCC"/>
    <w:rsid w:val="006830D6"/>
    <w:rsid w:val="00686970"/>
    <w:rsid w:val="006909B2"/>
    <w:rsid w:val="006932F0"/>
    <w:rsid w:val="006942A3"/>
    <w:rsid w:val="006959DE"/>
    <w:rsid w:val="00695DB7"/>
    <w:rsid w:val="00696B7F"/>
    <w:rsid w:val="006973A1"/>
    <w:rsid w:val="00697CA0"/>
    <w:rsid w:val="006A2450"/>
    <w:rsid w:val="006A256C"/>
    <w:rsid w:val="006A2E10"/>
    <w:rsid w:val="006A325E"/>
    <w:rsid w:val="006A45CD"/>
    <w:rsid w:val="006A4657"/>
    <w:rsid w:val="006A4C72"/>
    <w:rsid w:val="006A640B"/>
    <w:rsid w:val="006B023A"/>
    <w:rsid w:val="006B08F1"/>
    <w:rsid w:val="006B103B"/>
    <w:rsid w:val="006B3375"/>
    <w:rsid w:val="006B6C95"/>
    <w:rsid w:val="006B76DA"/>
    <w:rsid w:val="006C1269"/>
    <w:rsid w:val="006C1BF5"/>
    <w:rsid w:val="006C2B98"/>
    <w:rsid w:val="006C31EE"/>
    <w:rsid w:val="006C3277"/>
    <w:rsid w:val="006C358F"/>
    <w:rsid w:val="006C3837"/>
    <w:rsid w:val="006C4BE1"/>
    <w:rsid w:val="006C6EC9"/>
    <w:rsid w:val="006D1648"/>
    <w:rsid w:val="006D422B"/>
    <w:rsid w:val="006D5CCE"/>
    <w:rsid w:val="006D762C"/>
    <w:rsid w:val="006D7BDF"/>
    <w:rsid w:val="006E01CC"/>
    <w:rsid w:val="006E0335"/>
    <w:rsid w:val="006E27E2"/>
    <w:rsid w:val="006E5ACF"/>
    <w:rsid w:val="006F2917"/>
    <w:rsid w:val="006F29FE"/>
    <w:rsid w:val="006F2E90"/>
    <w:rsid w:val="006F4351"/>
    <w:rsid w:val="006F5437"/>
    <w:rsid w:val="006F7735"/>
    <w:rsid w:val="00701D56"/>
    <w:rsid w:val="00702FB0"/>
    <w:rsid w:val="00703E93"/>
    <w:rsid w:val="00705792"/>
    <w:rsid w:val="00706458"/>
    <w:rsid w:val="00706EDB"/>
    <w:rsid w:val="00710F13"/>
    <w:rsid w:val="0071279E"/>
    <w:rsid w:val="00716E73"/>
    <w:rsid w:val="0071747A"/>
    <w:rsid w:val="00723C24"/>
    <w:rsid w:val="00734468"/>
    <w:rsid w:val="00734B55"/>
    <w:rsid w:val="00735F9C"/>
    <w:rsid w:val="00736217"/>
    <w:rsid w:val="00737C92"/>
    <w:rsid w:val="007406B8"/>
    <w:rsid w:val="007411F6"/>
    <w:rsid w:val="0074662F"/>
    <w:rsid w:val="00747EC5"/>
    <w:rsid w:val="00750604"/>
    <w:rsid w:val="00751F30"/>
    <w:rsid w:val="007520E6"/>
    <w:rsid w:val="00752DF9"/>
    <w:rsid w:val="00756932"/>
    <w:rsid w:val="007579D6"/>
    <w:rsid w:val="0076012A"/>
    <w:rsid w:val="00760B6E"/>
    <w:rsid w:val="00761C0A"/>
    <w:rsid w:val="00761F49"/>
    <w:rsid w:val="0076390B"/>
    <w:rsid w:val="00764B1B"/>
    <w:rsid w:val="00764D55"/>
    <w:rsid w:val="00764D81"/>
    <w:rsid w:val="00765D82"/>
    <w:rsid w:val="00767EE4"/>
    <w:rsid w:val="00771872"/>
    <w:rsid w:val="007727F9"/>
    <w:rsid w:val="00772AC6"/>
    <w:rsid w:val="0077328F"/>
    <w:rsid w:val="00773684"/>
    <w:rsid w:val="00773B66"/>
    <w:rsid w:val="00775DC9"/>
    <w:rsid w:val="0077634D"/>
    <w:rsid w:val="00782637"/>
    <w:rsid w:val="00782859"/>
    <w:rsid w:val="007828CB"/>
    <w:rsid w:val="007831D7"/>
    <w:rsid w:val="00785D9D"/>
    <w:rsid w:val="007875B5"/>
    <w:rsid w:val="0079083F"/>
    <w:rsid w:val="00792924"/>
    <w:rsid w:val="0079359E"/>
    <w:rsid w:val="007A0958"/>
    <w:rsid w:val="007A111E"/>
    <w:rsid w:val="007A2187"/>
    <w:rsid w:val="007A261A"/>
    <w:rsid w:val="007A329D"/>
    <w:rsid w:val="007A3739"/>
    <w:rsid w:val="007A6D8A"/>
    <w:rsid w:val="007B00C8"/>
    <w:rsid w:val="007B042E"/>
    <w:rsid w:val="007B20DE"/>
    <w:rsid w:val="007B2B9A"/>
    <w:rsid w:val="007B2FDC"/>
    <w:rsid w:val="007B3EB0"/>
    <w:rsid w:val="007B3F3D"/>
    <w:rsid w:val="007B49A9"/>
    <w:rsid w:val="007B4BAF"/>
    <w:rsid w:val="007B4EC2"/>
    <w:rsid w:val="007B5E23"/>
    <w:rsid w:val="007B6F5F"/>
    <w:rsid w:val="007B7263"/>
    <w:rsid w:val="007B7914"/>
    <w:rsid w:val="007C1C05"/>
    <w:rsid w:val="007C598E"/>
    <w:rsid w:val="007C615F"/>
    <w:rsid w:val="007C664C"/>
    <w:rsid w:val="007C6A21"/>
    <w:rsid w:val="007C782F"/>
    <w:rsid w:val="007C7F5E"/>
    <w:rsid w:val="007D0CE6"/>
    <w:rsid w:val="007D33B6"/>
    <w:rsid w:val="007D3D6D"/>
    <w:rsid w:val="007D48EF"/>
    <w:rsid w:val="007D5E3A"/>
    <w:rsid w:val="007E01CD"/>
    <w:rsid w:val="007E0E0A"/>
    <w:rsid w:val="007E24AE"/>
    <w:rsid w:val="007E2D39"/>
    <w:rsid w:val="007E2DBF"/>
    <w:rsid w:val="007E423C"/>
    <w:rsid w:val="007E6CA7"/>
    <w:rsid w:val="007E7DA7"/>
    <w:rsid w:val="007F04E3"/>
    <w:rsid w:val="007F2AC4"/>
    <w:rsid w:val="007F38A7"/>
    <w:rsid w:val="007F56F3"/>
    <w:rsid w:val="007F6303"/>
    <w:rsid w:val="007F7543"/>
    <w:rsid w:val="008013D1"/>
    <w:rsid w:val="00803220"/>
    <w:rsid w:val="0080366B"/>
    <w:rsid w:val="008042B6"/>
    <w:rsid w:val="00805C93"/>
    <w:rsid w:val="008066D6"/>
    <w:rsid w:val="00806929"/>
    <w:rsid w:val="00806BDD"/>
    <w:rsid w:val="00811F0B"/>
    <w:rsid w:val="00814099"/>
    <w:rsid w:val="008172F5"/>
    <w:rsid w:val="00821696"/>
    <w:rsid w:val="008230CD"/>
    <w:rsid w:val="0082707D"/>
    <w:rsid w:val="00831C2E"/>
    <w:rsid w:val="00831C31"/>
    <w:rsid w:val="00832287"/>
    <w:rsid w:val="00833861"/>
    <w:rsid w:val="008347E5"/>
    <w:rsid w:val="00841414"/>
    <w:rsid w:val="00841DA8"/>
    <w:rsid w:val="00842CAD"/>
    <w:rsid w:val="008442CA"/>
    <w:rsid w:val="00844C94"/>
    <w:rsid w:val="00847A75"/>
    <w:rsid w:val="00850BC8"/>
    <w:rsid w:val="008514E0"/>
    <w:rsid w:val="0085302B"/>
    <w:rsid w:val="0085666A"/>
    <w:rsid w:val="00862FFD"/>
    <w:rsid w:val="008652A3"/>
    <w:rsid w:val="0086719B"/>
    <w:rsid w:val="008678D6"/>
    <w:rsid w:val="00870C8B"/>
    <w:rsid w:val="00874EFA"/>
    <w:rsid w:val="00876BFF"/>
    <w:rsid w:val="008775AC"/>
    <w:rsid w:val="00877CF3"/>
    <w:rsid w:val="008823CC"/>
    <w:rsid w:val="008826BC"/>
    <w:rsid w:val="008828E1"/>
    <w:rsid w:val="00883EC8"/>
    <w:rsid w:val="0088454E"/>
    <w:rsid w:val="00885707"/>
    <w:rsid w:val="00886314"/>
    <w:rsid w:val="00887968"/>
    <w:rsid w:val="008906EE"/>
    <w:rsid w:val="00891C81"/>
    <w:rsid w:val="00892E8C"/>
    <w:rsid w:val="00896705"/>
    <w:rsid w:val="00897014"/>
    <w:rsid w:val="008A1D51"/>
    <w:rsid w:val="008A20C7"/>
    <w:rsid w:val="008A54FA"/>
    <w:rsid w:val="008A6400"/>
    <w:rsid w:val="008B0332"/>
    <w:rsid w:val="008B1877"/>
    <w:rsid w:val="008B2063"/>
    <w:rsid w:val="008B2471"/>
    <w:rsid w:val="008B3068"/>
    <w:rsid w:val="008B38DD"/>
    <w:rsid w:val="008B45AB"/>
    <w:rsid w:val="008B468C"/>
    <w:rsid w:val="008B4BD4"/>
    <w:rsid w:val="008B5366"/>
    <w:rsid w:val="008C05EB"/>
    <w:rsid w:val="008C4007"/>
    <w:rsid w:val="008C4821"/>
    <w:rsid w:val="008C6890"/>
    <w:rsid w:val="008D016E"/>
    <w:rsid w:val="008D0A7E"/>
    <w:rsid w:val="008D0EEF"/>
    <w:rsid w:val="008D1E12"/>
    <w:rsid w:val="008D4593"/>
    <w:rsid w:val="008D4D1A"/>
    <w:rsid w:val="008D56DD"/>
    <w:rsid w:val="008D6DC9"/>
    <w:rsid w:val="008D7753"/>
    <w:rsid w:val="008E19DD"/>
    <w:rsid w:val="008E2F5A"/>
    <w:rsid w:val="008E322A"/>
    <w:rsid w:val="008E323C"/>
    <w:rsid w:val="008E494F"/>
    <w:rsid w:val="008E59D2"/>
    <w:rsid w:val="008E5FBC"/>
    <w:rsid w:val="008E7FBA"/>
    <w:rsid w:val="008F2CF7"/>
    <w:rsid w:val="008F6030"/>
    <w:rsid w:val="009006FB"/>
    <w:rsid w:val="009028E5"/>
    <w:rsid w:val="009033E2"/>
    <w:rsid w:val="009038E1"/>
    <w:rsid w:val="00905CFB"/>
    <w:rsid w:val="00907861"/>
    <w:rsid w:val="00910A89"/>
    <w:rsid w:val="0091151E"/>
    <w:rsid w:val="0091216C"/>
    <w:rsid w:val="00912AFE"/>
    <w:rsid w:val="00912F90"/>
    <w:rsid w:val="00914EDA"/>
    <w:rsid w:val="009153ED"/>
    <w:rsid w:val="00915715"/>
    <w:rsid w:val="00915E27"/>
    <w:rsid w:val="00917560"/>
    <w:rsid w:val="00917EE8"/>
    <w:rsid w:val="00920231"/>
    <w:rsid w:val="009207D8"/>
    <w:rsid w:val="00921643"/>
    <w:rsid w:val="0092206D"/>
    <w:rsid w:val="00924541"/>
    <w:rsid w:val="009327BA"/>
    <w:rsid w:val="009339C1"/>
    <w:rsid w:val="0093587B"/>
    <w:rsid w:val="00935D5A"/>
    <w:rsid w:val="00936B27"/>
    <w:rsid w:val="009409BC"/>
    <w:rsid w:val="00943563"/>
    <w:rsid w:val="00943BB2"/>
    <w:rsid w:val="009442C7"/>
    <w:rsid w:val="009450CE"/>
    <w:rsid w:val="00945824"/>
    <w:rsid w:val="009473D8"/>
    <w:rsid w:val="00947D01"/>
    <w:rsid w:val="00950A3E"/>
    <w:rsid w:val="00952540"/>
    <w:rsid w:val="00954526"/>
    <w:rsid w:val="00954F6B"/>
    <w:rsid w:val="00956948"/>
    <w:rsid w:val="0096002A"/>
    <w:rsid w:val="00961256"/>
    <w:rsid w:val="009625BE"/>
    <w:rsid w:val="00963023"/>
    <w:rsid w:val="00964207"/>
    <w:rsid w:val="0096742D"/>
    <w:rsid w:val="00967863"/>
    <w:rsid w:val="00971699"/>
    <w:rsid w:val="00971ADA"/>
    <w:rsid w:val="0097268D"/>
    <w:rsid w:val="00973CB3"/>
    <w:rsid w:val="00974DD4"/>
    <w:rsid w:val="009752C5"/>
    <w:rsid w:val="0097571E"/>
    <w:rsid w:val="00976351"/>
    <w:rsid w:val="00977E0C"/>
    <w:rsid w:val="00977EFB"/>
    <w:rsid w:val="00980DE5"/>
    <w:rsid w:val="00981EB2"/>
    <w:rsid w:val="00982BD6"/>
    <w:rsid w:val="00983223"/>
    <w:rsid w:val="0098373B"/>
    <w:rsid w:val="0098478C"/>
    <w:rsid w:val="00985AA6"/>
    <w:rsid w:val="00986BD5"/>
    <w:rsid w:val="00987220"/>
    <w:rsid w:val="00987F44"/>
    <w:rsid w:val="00990590"/>
    <w:rsid w:val="00993C14"/>
    <w:rsid w:val="009940DD"/>
    <w:rsid w:val="00994989"/>
    <w:rsid w:val="00996F52"/>
    <w:rsid w:val="009A0247"/>
    <w:rsid w:val="009A0453"/>
    <w:rsid w:val="009A0646"/>
    <w:rsid w:val="009A070E"/>
    <w:rsid w:val="009A0BBD"/>
    <w:rsid w:val="009A16D7"/>
    <w:rsid w:val="009A177B"/>
    <w:rsid w:val="009A2FCE"/>
    <w:rsid w:val="009A3B68"/>
    <w:rsid w:val="009A4EF9"/>
    <w:rsid w:val="009A525A"/>
    <w:rsid w:val="009A71E4"/>
    <w:rsid w:val="009A7CD1"/>
    <w:rsid w:val="009B05DA"/>
    <w:rsid w:val="009B0A33"/>
    <w:rsid w:val="009B0F90"/>
    <w:rsid w:val="009B220C"/>
    <w:rsid w:val="009B281C"/>
    <w:rsid w:val="009B2DDC"/>
    <w:rsid w:val="009B4A6D"/>
    <w:rsid w:val="009B5FF0"/>
    <w:rsid w:val="009C00E6"/>
    <w:rsid w:val="009C1E6B"/>
    <w:rsid w:val="009C2D9C"/>
    <w:rsid w:val="009C60D6"/>
    <w:rsid w:val="009C6E25"/>
    <w:rsid w:val="009D0364"/>
    <w:rsid w:val="009D2191"/>
    <w:rsid w:val="009D2660"/>
    <w:rsid w:val="009D2D61"/>
    <w:rsid w:val="009D39C4"/>
    <w:rsid w:val="009E018D"/>
    <w:rsid w:val="009E25ED"/>
    <w:rsid w:val="009E261D"/>
    <w:rsid w:val="009E40F3"/>
    <w:rsid w:val="009E585C"/>
    <w:rsid w:val="009E671A"/>
    <w:rsid w:val="009F0175"/>
    <w:rsid w:val="009F09A9"/>
    <w:rsid w:val="009F0D57"/>
    <w:rsid w:val="009F51ED"/>
    <w:rsid w:val="009F53BD"/>
    <w:rsid w:val="009F6199"/>
    <w:rsid w:val="009F7014"/>
    <w:rsid w:val="009F724E"/>
    <w:rsid w:val="00A009BB"/>
    <w:rsid w:val="00A02B26"/>
    <w:rsid w:val="00A02DB7"/>
    <w:rsid w:val="00A03A0C"/>
    <w:rsid w:val="00A03B2C"/>
    <w:rsid w:val="00A07260"/>
    <w:rsid w:val="00A10663"/>
    <w:rsid w:val="00A14AA0"/>
    <w:rsid w:val="00A16716"/>
    <w:rsid w:val="00A16F4F"/>
    <w:rsid w:val="00A171E0"/>
    <w:rsid w:val="00A17518"/>
    <w:rsid w:val="00A205EC"/>
    <w:rsid w:val="00A23326"/>
    <w:rsid w:val="00A24393"/>
    <w:rsid w:val="00A24891"/>
    <w:rsid w:val="00A24D86"/>
    <w:rsid w:val="00A2789A"/>
    <w:rsid w:val="00A27DF8"/>
    <w:rsid w:val="00A309B7"/>
    <w:rsid w:val="00A309C9"/>
    <w:rsid w:val="00A319CA"/>
    <w:rsid w:val="00A33023"/>
    <w:rsid w:val="00A33D5E"/>
    <w:rsid w:val="00A3474F"/>
    <w:rsid w:val="00A3736E"/>
    <w:rsid w:val="00A40196"/>
    <w:rsid w:val="00A404BD"/>
    <w:rsid w:val="00A40F87"/>
    <w:rsid w:val="00A4448E"/>
    <w:rsid w:val="00A46DFA"/>
    <w:rsid w:val="00A47F12"/>
    <w:rsid w:val="00A502A2"/>
    <w:rsid w:val="00A51448"/>
    <w:rsid w:val="00A51945"/>
    <w:rsid w:val="00A52814"/>
    <w:rsid w:val="00A54EA4"/>
    <w:rsid w:val="00A570B7"/>
    <w:rsid w:val="00A574E0"/>
    <w:rsid w:val="00A5771E"/>
    <w:rsid w:val="00A579E8"/>
    <w:rsid w:val="00A57DC7"/>
    <w:rsid w:val="00A57DE5"/>
    <w:rsid w:val="00A606A4"/>
    <w:rsid w:val="00A60C89"/>
    <w:rsid w:val="00A62C43"/>
    <w:rsid w:val="00A63709"/>
    <w:rsid w:val="00A64D37"/>
    <w:rsid w:val="00A666D1"/>
    <w:rsid w:val="00A67C0C"/>
    <w:rsid w:val="00A700EF"/>
    <w:rsid w:val="00A722F7"/>
    <w:rsid w:val="00A7291F"/>
    <w:rsid w:val="00A72D9B"/>
    <w:rsid w:val="00A766AE"/>
    <w:rsid w:val="00A81399"/>
    <w:rsid w:val="00A83FC1"/>
    <w:rsid w:val="00A84113"/>
    <w:rsid w:val="00A855E4"/>
    <w:rsid w:val="00A85897"/>
    <w:rsid w:val="00A85A9E"/>
    <w:rsid w:val="00A86EA2"/>
    <w:rsid w:val="00A87671"/>
    <w:rsid w:val="00A90D0C"/>
    <w:rsid w:val="00A910A8"/>
    <w:rsid w:val="00A920AC"/>
    <w:rsid w:val="00A927CC"/>
    <w:rsid w:val="00A92E67"/>
    <w:rsid w:val="00A93FCD"/>
    <w:rsid w:val="00A9447B"/>
    <w:rsid w:val="00A94BB3"/>
    <w:rsid w:val="00A94EDD"/>
    <w:rsid w:val="00A9551F"/>
    <w:rsid w:val="00A956E9"/>
    <w:rsid w:val="00A9576B"/>
    <w:rsid w:val="00A95D73"/>
    <w:rsid w:val="00AA0D6E"/>
    <w:rsid w:val="00AA131E"/>
    <w:rsid w:val="00AA2DBC"/>
    <w:rsid w:val="00AA3924"/>
    <w:rsid w:val="00AB0689"/>
    <w:rsid w:val="00AB073B"/>
    <w:rsid w:val="00AB18BF"/>
    <w:rsid w:val="00AB2B45"/>
    <w:rsid w:val="00AB2E8D"/>
    <w:rsid w:val="00AB4596"/>
    <w:rsid w:val="00AB501A"/>
    <w:rsid w:val="00AB5C10"/>
    <w:rsid w:val="00AB635A"/>
    <w:rsid w:val="00AB77E7"/>
    <w:rsid w:val="00AC1214"/>
    <w:rsid w:val="00AC192E"/>
    <w:rsid w:val="00AC1C57"/>
    <w:rsid w:val="00AC2DD2"/>
    <w:rsid w:val="00AC3E86"/>
    <w:rsid w:val="00AC4A7A"/>
    <w:rsid w:val="00AC5431"/>
    <w:rsid w:val="00AC5C42"/>
    <w:rsid w:val="00AC5CF0"/>
    <w:rsid w:val="00AC68E7"/>
    <w:rsid w:val="00AD10CF"/>
    <w:rsid w:val="00AD15D4"/>
    <w:rsid w:val="00AD234B"/>
    <w:rsid w:val="00AD2905"/>
    <w:rsid w:val="00AD36CB"/>
    <w:rsid w:val="00AD4055"/>
    <w:rsid w:val="00AD615B"/>
    <w:rsid w:val="00AD66AF"/>
    <w:rsid w:val="00AD7CFB"/>
    <w:rsid w:val="00AE06B3"/>
    <w:rsid w:val="00AE0927"/>
    <w:rsid w:val="00AE261D"/>
    <w:rsid w:val="00AE2F95"/>
    <w:rsid w:val="00AE30D8"/>
    <w:rsid w:val="00AE3650"/>
    <w:rsid w:val="00AE3872"/>
    <w:rsid w:val="00AE3CE4"/>
    <w:rsid w:val="00AE5517"/>
    <w:rsid w:val="00AE5924"/>
    <w:rsid w:val="00AE5B68"/>
    <w:rsid w:val="00AE5DFA"/>
    <w:rsid w:val="00AE5F1C"/>
    <w:rsid w:val="00AE6AD1"/>
    <w:rsid w:val="00AE7190"/>
    <w:rsid w:val="00AE7DCA"/>
    <w:rsid w:val="00AF0F92"/>
    <w:rsid w:val="00AF2704"/>
    <w:rsid w:val="00AF3776"/>
    <w:rsid w:val="00AF4FEA"/>
    <w:rsid w:val="00AF7008"/>
    <w:rsid w:val="00AF7DF9"/>
    <w:rsid w:val="00B01356"/>
    <w:rsid w:val="00B0607E"/>
    <w:rsid w:val="00B06370"/>
    <w:rsid w:val="00B10EBB"/>
    <w:rsid w:val="00B121A9"/>
    <w:rsid w:val="00B13CC4"/>
    <w:rsid w:val="00B14167"/>
    <w:rsid w:val="00B146C4"/>
    <w:rsid w:val="00B147D0"/>
    <w:rsid w:val="00B15529"/>
    <w:rsid w:val="00B15610"/>
    <w:rsid w:val="00B16FDA"/>
    <w:rsid w:val="00B17098"/>
    <w:rsid w:val="00B22C43"/>
    <w:rsid w:val="00B235E5"/>
    <w:rsid w:val="00B24994"/>
    <w:rsid w:val="00B25D83"/>
    <w:rsid w:val="00B26A92"/>
    <w:rsid w:val="00B27095"/>
    <w:rsid w:val="00B27E40"/>
    <w:rsid w:val="00B3099E"/>
    <w:rsid w:val="00B31E11"/>
    <w:rsid w:val="00B33BFE"/>
    <w:rsid w:val="00B344BF"/>
    <w:rsid w:val="00B363C7"/>
    <w:rsid w:val="00B40202"/>
    <w:rsid w:val="00B419C3"/>
    <w:rsid w:val="00B4477A"/>
    <w:rsid w:val="00B44B48"/>
    <w:rsid w:val="00B44FD4"/>
    <w:rsid w:val="00B46EA2"/>
    <w:rsid w:val="00B500C9"/>
    <w:rsid w:val="00B5049F"/>
    <w:rsid w:val="00B504B6"/>
    <w:rsid w:val="00B51743"/>
    <w:rsid w:val="00B51B02"/>
    <w:rsid w:val="00B51C2B"/>
    <w:rsid w:val="00B5361E"/>
    <w:rsid w:val="00B55FA5"/>
    <w:rsid w:val="00B57842"/>
    <w:rsid w:val="00B6337C"/>
    <w:rsid w:val="00B638DA"/>
    <w:rsid w:val="00B63932"/>
    <w:rsid w:val="00B64C24"/>
    <w:rsid w:val="00B65ECF"/>
    <w:rsid w:val="00B66328"/>
    <w:rsid w:val="00B67ECE"/>
    <w:rsid w:val="00B700B2"/>
    <w:rsid w:val="00B707D1"/>
    <w:rsid w:val="00B70878"/>
    <w:rsid w:val="00B71F44"/>
    <w:rsid w:val="00B72442"/>
    <w:rsid w:val="00B74918"/>
    <w:rsid w:val="00B758AC"/>
    <w:rsid w:val="00B7617C"/>
    <w:rsid w:val="00B761D3"/>
    <w:rsid w:val="00B76BE4"/>
    <w:rsid w:val="00B7759F"/>
    <w:rsid w:val="00B77880"/>
    <w:rsid w:val="00B778DA"/>
    <w:rsid w:val="00B80482"/>
    <w:rsid w:val="00B85D50"/>
    <w:rsid w:val="00B87BC8"/>
    <w:rsid w:val="00B90385"/>
    <w:rsid w:val="00B90CBD"/>
    <w:rsid w:val="00B90CED"/>
    <w:rsid w:val="00B93191"/>
    <w:rsid w:val="00B94000"/>
    <w:rsid w:val="00B953BD"/>
    <w:rsid w:val="00B95FAA"/>
    <w:rsid w:val="00BA0269"/>
    <w:rsid w:val="00BA66D8"/>
    <w:rsid w:val="00BA7D7A"/>
    <w:rsid w:val="00BB0462"/>
    <w:rsid w:val="00BB0593"/>
    <w:rsid w:val="00BB0BAB"/>
    <w:rsid w:val="00BB19B0"/>
    <w:rsid w:val="00BB1D04"/>
    <w:rsid w:val="00BB2FEE"/>
    <w:rsid w:val="00BB44E3"/>
    <w:rsid w:val="00BB6214"/>
    <w:rsid w:val="00BB662E"/>
    <w:rsid w:val="00BB744F"/>
    <w:rsid w:val="00BB7B72"/>
    <w:rsid w:val="00BC4C06"/>
    <w:rsid w:val="00BC50D1"/>
    <w:rsid w:val="00BC527C"/>
    <w:rsid w:val="00BD1702"/>
    <w:rsid w:val="00BD17EE"/>
    <w:rsid w:val="00BD4B64"/>
    <w:rsid w:val="00BD5EFD"/>
    <w:rsid w:val="00BD6BDC"/>
    <w:rsid w:val="00BE324C"/>
    <w:rsid w:val="00BE3696"/>
    <w:rsid w:val="00BE5F6B"/>
    <w:rsid w:val="00BE6C0F"/>
    <w:rsid w:val="00BE6DA7"/>
    <w:rsid w:val="00BF12A3"/>
    <w:rsid w:val="00BF344B"/>
    <w:rsid w:val="00BF4F6C"/>
    <w:rsid w:val="00BF541C"/>
    <w:rsid w:val="00BF59AF"/>
    <w:rsid w:val="00BF5A2F"/>
    <w:rsid w:val="00BF62E3"/>
    <w:rsid w:val="00BF6AEA"/>
    <w:rsid w:val="00BF7686"/>
    <w:rsid w:val="00C023A5"/>
    <w:rsid w:val="00C02EDF"/>
    <w:rsid w:val="00C03BC1"/>
    <w:rsid w:val="00C052B8"/>
    <w:rsid w:val="00C06A0C"/>
    <w:rsid w:val="00C07787"/>
    <w:rsid w:val="00C106EC"/>
    <w:rsid w:val="00C10B72"/>
    <w:rsid w:val="00C1235D"/>
    <w:rsid w:val="00C12F8C"/>
    <w:rsid w:val="00C15447"/>
    <w:rsid w:val="00C1648F"/>
    <w:rsid w:val="00C1689A"/>
    <w:rsid w:val="00C16B9A"/>
    <w:rsid w:val="00C17383"/>
    <w:rsid w:val="00C2131C"/>
    <w:rsid w:val="00C22AF0"/>
    <w:rsid w:val="00C231D3"/>
    <w:rsid w:val="00C23D6B"/>
    <w:rsid w:val="00C24416"/>
    <w:rsid w:val="00C24A3F"/>
    <w:rsid w:val="00C25EB5"/>
    <w:rsid w:val="00C301DC"/>
    <w:rsid w:val="00C30AEB"/>
    <w:rsid w:val="00C3214D"/>
    <w:rsid w:val="00C32A9D"/>
    <w:rsid w:val="00C33606"/>
    <w:rsid w:val="00C33AAA"/>
    <w:rsid w:val="00C3429B"/>
    <w:rsid w:val="00C353F9"/>
    <w:rsid w:val="00C35724"/>
    <w:rsid w:val="00C35E36"/>
    <w:rsid w:val="00C414A1"/>
    <w:rsid w:val="00C46A8A"/>
    <w:rsid w:val="00C4790B"/>
    <w:rsid w:val="00C508A3"/>
    <w:rsid w:val="00C51625"/>
    <w:rsid w:val="00C52AA4"/>
    <w:rsid w:val="00C54C38"/>
    <w:rsid w:val="00C54D3F"/>
    <w:rsid w:val="00C55B73"/>
    <w:rsid w:val="00C56140"/>
    <w:rsid w:val="00C57628"/>
    <w:rsid w:val="00C61438"/>
    <w:rsid w:val="00C61522"/>
    <w:rsid w:val="00C63F88"/>
    <w:rsid w:val="00C654B7"/>
    <w:rsid w:val="00C669B5"/>
    <w:rsid w:val="00C67D63"/>
    <w:rsid w:val="00C70DC5"/>
    <w:rsid w:val="00C70F5F"/>
    <w:rsid w:val="00C71F82"/>
    <w:rsid w:val="00C72057"/>
    <w:rsid w:val="00C73079"/>
    <w:rsid w:val="00C73E90"/>
    <w:rsid w:val="00C760F9"/>
    <w:rsid w:val="00C777B5"/>
    <w:rsid w:val="00C80E39"/>
    <w:rsid w:val="00C80E44"/>
    <w:rsid w:val="00C8402A"/>
    <w:rsid w:val="00C861D1"/>
    <w:rsid w:val="00C87917"/>
    <w:rsid w:val="00C911B7"/>
    <w:rsid w:val="00C91458"/>
    <w:rsid w:val="00C915B1"/>
    <w:rsid w:val="00C91797"/>
    <w:rsid w:val="00C92CBD"/>
    <w:rsid w:val="00C94841"/>
    <w:rsid w:val="00C97FA4"/>
    <w:rsid w:val="00CA5187"/>
    <w:rsid w:val="00CA55EC"/>
    <w:rsid w:val="00CA7646"/>
    <w:rsid w:val="00CB1A67"/>
    <w:rsid w:val="00CB2CD6"/>
    <w:rsid w:val="00CB49AF"/>
    <w:rsid w:val="00CB4DE5"/>
    <w:rsid w:val="00CB4FE0"/>
    <w:rsid w:val="00CB76B9"/>
    <w:rsid w:val="00CC18A2"/>
    <w:rsid w:val="00CC20B6"/>
    <w:rsid w:val="00CC2ED2"/>
    <w:rsid w:val="00CC71CB"/>
    <w:rsid w:val="00CD2639"/>
    <w:rsid w:val="00CD3545"/>
    <w:rsid w:val="00CD3672"/>
    <w:rsid w:val="00CD3E13"/>
    <w:rsid w:val="00CD4F31"/>
    <w:rsid w:val="00CD6CFA"/>
    <w:rsid w:val="00CD74C4"/>
    <w:rsid w:val="00CD7A74"/>
    <w:rsid w:val="00CE0227"/>
    <w:rsid w:val="00CE0909"/>
    <w:rsid w:val="00CE095F"/>
    <w:rsid w:val="00CE0E7F"/>
    <w:rsid w:val="00CE12A9"/>
    <w:rsid w:val="00CE1629"/>
    <w:rsid w:val="00CE3411"/>
    <w:rsid w:val="00CE5464"/>
    <w:rsid w:val="00CE587C"/>
    <w:rsid w:val="00CF1895"/>
    <w:rsid w:val="00CF3390"/>
    <w:rsid w:val="00CF4F7C"/>
    <w:rsid w:val="00D01536"/>
    <w:rsid w:val="00D01D42"/>
    <w:rsid w:val="00D02BF1"/>
    <w:rsid w:val="00D02C31"/>
    <w:rsid w:val="00D047FC"/>
    <w:rsid w:val="00D058BD"/>
    <w:rsid w:val="00D069F3"/>
    <w:rsid w:val="00D07269"/>
    <w:rsid w:val="00D10194"/>
    <w:rsid w:val="00D10EB6"/>
    <w:rsid w:val="00D119BF"/>
    <w:rsid w:val="00D11ECB"/>
    <w:rsid w:val="00D1260F"/>
    <w:rsid w:val="00D12F31"/>
    <w:rsid w:val="00D14396"/>
    <w:rsid w:val="00D17E1A"/>
    <w:rsid w:val="00D2044A"/>
    <w:rsid w:val="00D20B6A"/>
    <w:rsid w:val="00D25F8E"/>
    <w:rsid w:val="00D2687A"/>
    <w:rsid w:val="00D27AB5"/>
    <w:rsid w:val="00D27E0D"/>
    <w:rsid w:val="00D30572"/>
    <w:rsid w:val="00D30852"/>
    <w:rsid w:val="00D30EEB"/>
    <w:rsid w:val="00D315E9"/>
    <w:rsid w:val="00D3267C"/>
    <w:rsid w:val="00D343AD"/>
    <w:rsid w:val="00D359B2"/>
    <w:rsid w:val="00D36F64"/>
    <w:rsid w:val="00D37B07"/>
    <w:rsid w:val="00D42697"/>
    <w:rsid w:val="00D436FC"/>
    <w:rsid w:val="00D43A1B"/>
    <w:rsid w:val="00D46CC1"/>
    <w:rsid w:val="00D47FF9"/>
    <w:rsid w:val="00D50A37"/>
    <w:rsid w:val="00D50C0F"/>
    <w:rsid w:val="00D51EAF"/>
    <w:rsid w:val="00D557B3"/>
    <w:rsid w:val="00D57024"/>
    <w:rsid w:val="00D61FF7"/>
    <w:rsid w:val="00D62A5D"/>
    <w:rsid w:val="00D65382"/>
    <w:rsid w:val="00D6540E"/>
    <w:rsid w:val="00D66198"/>
    <w:rsid w:val="00D66258"/>
    <w:rsid w:val="00D66576"/>
    <w:rsid w:val="00D77FF4"/>
    <w:rsid w:val="00D816A3"/>
    <w:rsid w:val="00D8203F"/>
    <w:rsid w:val="00D8263B"/>
    <w:rsid w:val="00D82E1D"/>
    <w:rsid w:val="00D84781"/>
    <w:rsid w:val="00D847F7"/>
    <w:rsid w:val="00D85030"/>
    <w:rsid w:val="00D8684D"/>
    <w:rsid w:val="00D90334"/>
    <w:rsid w:val="00D92EBC"/>
    <w:rsid w:val="00D94893"/>
    <w:rsid w:val="00D9577B"/>
    <w:rsid w:val="00D95C42"/>
    <w:rsid w:val="00D96763"/>
    <w:rsid w:val="00D974A0"/>
    <w:rsid w:val="00D976FB"/>
    <w:rsid w:val="00DA04C1"/>
    <w:rsid w:val="00DA14A2"/>
    <w:rsid w:val="00DA3374"/>
    <w:rsid w:val="00DA37A9"/>
    <w:rsid w:val="00DA5DAB"/>
    <w:rsid w:val="00DB089D"/>
    <w:rsid w:val="00DB2603"/>
    <w:rsid w:val="00DB329E"/>
    <w:rsid w:val="00DB42ED"/>
    <w:rsid w:val="00DB4933"/>
    <w:rsid w:val="00DB565B"/>
    <w:rsid w:val="00DB6619"/>
    <w:rsid w:val="00DB7A88"/>
    <w:rsid w:val="00DC0813"/>
    <w:rsid w:val="00DC2103"/>
    <w:rsid w:val="00DC5722"/>
    <w:rsid w:val="00DC6F39"/>
    <w:rsid w:val="00DC7CAB"/>
    <w:rsid w:val="00DD05CF"/>
    <w:rsid w:val="00DD3651"/>
    <w:rsid w:val="00DD5A7F"/>
    <w:rsid w:val="00DD716F"/>
    <w:rsid w:val="00DE3F4A"/>
    <w:rsid w:val="00DE5A89"/>
    <w:rsid w:val="00DE63F6"/>
    <w:rsid w:val="00DE6B21"/>
    <w:rsid w:val="00DE6CA6"/>
    <w:rsid w:val="00DF030F"/>
    <w:rsid w:val="00DF0B37"/>
    <w:rsid w:val="00DF0EA9"/>
    <w:rsid w:val="00DF1791"/>
    <w:rsid w:val="00DF194D"/>
    <w:rsid w:val="00DF19F8"/>
    <w:rsid w:val="00DF4BC6"/>
    <w:rsid w:val="00DF68CD"/>
    <w:rsid w:val="00DF6AC7"/>
    <w:rsid w:val="00DF783E"/>
    <w:rsid w:val="00E00319"/>
    <w:rsid w:val="00E050A5"/>
    <w:rsid w:val="00E0539C"/>
    <w:rsid w:val="00E065C2"/>
    <w:rsid w:val="00E10CDD"/>
    <w:rsid w:val="00E121D6"/>
    <w:rsid w:val="00E137EA"/>
    <w:rsid w:val="00E149C4"/>
    <w:rsid w:val="00E14C10"/>
    <w:rsid w:val="00E14FC9"/>
    <w:rsid w:val="00E15BB7"/>
    <w:rsid w:val="00E16007"/>
    <w:rsid w:val="00E1654D"/>
    <w:rsid w:val="00E168E4"/>
    <w:rsid w:val="00E17E1B"/>
    <w:rsid w:val="00E20549"/>
    <w:rsid w:val="00E237B3"/>
    <w:rsid w:val="00E24929"/>
    <w:rsid w:val="00E31BCF"/>
    <w:rsid w:val="00E32967"/>
    <w:rsid w:val="00E32ACE"/>
    <w:rsid w:val="00E3546A"/>
    <w:rsid w:val="00E356AA"/>
    <w:rsid w:val="00E36583"/>
    <w:rsid w:val="00E3673D"/>
    <w:rsid w:val="00E370BF"/>
    <w:rsid w:val="00E3729F"/>
    <w:rsid w:val="00E4182E"/>
    <w:rsid w:val="00E42550"/>
    <w:rsid w:val="00E47994"/>
    <w:rsid w:val="00E47DC3"/>
    <w:rsid w:val="00E524A0"/>
    <w:rsid w:val="00E528AC"/>
    <w:rsid w:val="00E53E9E"/>
    <w:rsid w:val="00E56286"/>
    <w:rsid w:val="00E56ECF"/>
    <w:rsid w:val="00E57C9D"/>
    <w:rsid w:val="00E64A2F"/>
    <w:rsid w:val="00E64F72"/>
    <w:rsid w:val="00E655F8"/>
    <w:rsid w:val="00E70AEE"/>
    <w:rsid w:val="00E72164"/>
    <w:rsid w:val="00E72236"/>
    <w:rsid w:val="00E722C7"/>
    <w:rsid w:val="00E730AF"/>
    <w:rsid w:val="00E73AAA"/>
    <w:rsid w:val="00E73CD3"/>
    <w:rsid w:val="00E73D5A"/>
    <w:rsid w:val="00E764DE"/>
    <w:rsid w:val="00E7651A"/>
    <w:rsid w:val="00E771AE"/>
    <w:rsid w:val="00E8108A"/>
    <w:rsid w:val="00E8173A"/>
    <w:rsid w:val="00E819CA"/>
    <w:rsid w:val="00E81C96"/>
    <w:rsid w:val="00E81E84"/>
    <w:rsid w:val="00E83576"/>
    <w:rsid w:val="00E83EC7"/>
    <w:rsid w:val="00E84B17"/>
    <w:rsid w:val="00E84D3A"/>
    <w:rsid w:val="00E854C9"/>
    <w:rsid w:val="00E86C50"/>
    <w:rsid w:val="00E87680"/>
    <w:rsid w:val="00E9037A"/>
    <w:rsid w:val="00E906B5"/>
    <w:rsid w:val="00E90762"/>
    <w:rsid w:val="00E91ABA"/>
    <w:rsid w:val="00E93E70"/>
    <w:rsid w:val="00E94760"/>
    <w:rsid w:val="00E9486B"/>
    <w:rsid w:val="00E9611D"/>
    <w:rsid w:val="00E96FDC"/>
    <w:rsid w:val="00E97FE9"/>
    <w:rsid w:val="00EA0465"/>
    <w:rsid w:val="00EA12A6"/>
    <w:rsid w:val="00EA169E"/>
    <w:rsid w:val="00EA1F48"/>
    <w:rsid w:val="00EA2CF7"/>
    <w:rsid w:val="00EA3D3B"/>
    <w:rsid w:val="00EA3ED2"/>
    <w:rsid w:val="00EA4242"/>
    <w:rsid w:val="00EA446F"/>
    <w:rsid w:val="00EA5B95"/>
    <w:rsid w:val="00EA5ED2"/>
    <w:rsid w:val="00EA7201"/>
    <w:rsid w:val="00EA765A"/>
    <w:rsid w:val="00EB00BE"/>
    <w:rsid w:val="00EB2476"/>
    <w:rsid w:val="00EB2EF1"/>
    <w:rsid w:val="00EB5689"/>
    <w:rsid w:val="00EC019B"/>
    <w:rsid w:val="00EC5A67"/>
    <w:rsid w:val="00EC6239"/>
    <w:rsid w:val="00EC64E1"/>
    <w:rsid w:val="00EC698C"/>
    <w:rsid w:val="00ED069B"/>
    <w:rsid w:val="00ED0E85"/>
    <w:rsid w:val="00ED3577"/>
    <w:rsid w:val="00ED3DE9"/>
    <w:rsid w:val="00ED4F72"/>
    <w:rsid w:val="00ED51EA"/>
    <w:rsid w:val="00ED75E1"/>
    <w:rsid w:val="00ED7AFE"/>
    <w:rsid w:val="00EE223C"/>
    <w:rsid w:val="00EE29DD"/>
    <w:rsid w:val="00EE2C3D"/>
    <w:rsid w:val="00EE34B7"/>
    <w:rsid w:val="00EE3B50"/>
    <w:rsid w:val="00EE4357"/>
    <w:rsid w:val="00EE64BA"/>
    <w:rsid w:val="00EE6599"/>
    <w:rsid w:val="00EE7FF2"/>
    <w:rsid w:val="00EF03DA"/>
    <w:rsid w:val="00EF099B"/>
    <w:rsid w:val="00EF1DCC"/>
    <w:rsid w:val="00EF1EEB"/>
    <w:rsid w:val="00EF2606"/>
    <w:rsid w:val="00EF4369"/>
    <w:rsid w:val="00EF6512"/>
    <w:rsid w:val="00F02E92"/>
    <w:rsid w:val="00F03234"/>
    <w:rsid w:val="00F05D4C"/>
    <w:rsid w:val="00F06CC7"/>
    <w:rsid w:val="00F06F0E"/>
    <w:rsid w:val="00F071CC"/>
    <w:rsid w:val="00F0798F"/>
    <w:rsid w:val="00F10ABF"/>
    <w:rsid w:val="00F110F1"/>
    <w:rsid w:val="00F118BC"/>
    <w:rsid w:val="00F27CC9"/>
    <w:rsid w:val="00F27D5C"/>
    <w:rsid w:val="00F301A4"/>
    <w:rsid w:val="00F31A7D"/>
    <w:rsid w:val="00F31DE6"/>
    <w:rsid w:val="00F328A1"/>
    <w:rsid w:val="00F33002"/>
    <w:rsid w:val="00F333EB"/>
    <w:rsid w:val="00F347F7"/>
    <w:rsid w:val="00F34AC2"/>
    <w:rsid w:val="00F3624A"/>
    <w:rsid w:val="00F36F57"/>
    <w:rsid w:val="00F37B56"/>
    <w:rsid w:val="00F37E7A"/>
    <w:rsid w:val="00F41CBF"/>
    <w:rsid w:val="00F43BB3"/>
    <w:rsid w:val="00F440BA"/>
    <w:rsid w:val="00F4496A"/>
    <w:rsid w:val="00F46E4F"/>
    <w:rsid w:val="00F476CB"/>
    <w:rsid w:val="00F479FD"/>
    <w:rsid w:val="00F54831"/>
    <w:rsid w:val="00F6043D"/>
    <w:rsid w:val="00F62203"/>
    <w:rsid w:val="00F623CC"/>
    <w:rsid w:val="00F63599"/>
    <w:rsid w:val="00F64825"/>
    <w:rsid w:val="00F652BF"/>
    <w:rsid w:val="00F679C6"/>
    <w:rsid w:val="00F67F29"/>
    <w:rsid w:val="00F71079"/>
    <w:rsid w:val="00F7204C"/>
    <w:rsid w:val="00F73E4F"/>
    <w:rsid w:val="00F75B44"/>
    <w:rsid w:val="00F75D7F"/>
    <w:rsid w:val="00F77710"/>
    <w:rsid w:val="00F77814"/>
    <w:rsid w:val="00F81CD0"/>
    <w:rsid w:val="00F82AF8"/>
    <w:rsid w:val="00F84450"/>
    <w:rsid w:val="00F87756"/>
    <w:rsid w:val="00F87A61"/>
    <w:rsid w:val="00F92320"/>
    <w:rsid w:val="00F931FA"/>
    <w:rsid w:val="00F9378C"/>
    <w:rsid w:val="00F94157"/>
    <w:rsid w:val="00F941B6"/>
    <w:rsid w:val="00F94990"/>
    <w:rsid w:val="00F94A07"/>
    <w:rsid w:val="00F950E0"/>
    <w:rsid w:val="00F958F2"/>
    <w:rsid w:val="00F976D7"/>
    <w:rsid w:val="00FA3A37"/>
    <w:rsid w:val="00FA41B8"/>
    <w:rsid w:val="00FA4922"/>
    <w:rsid w:val="00FA5D91"/>
    <w:rsid w:val="00FA6139"/>
    <w:rsid w:val="00FA7065"/>
    <w:rsid w:val="00FA7FB4"/>
    <w:rsid w:val="00FB1610"/>
    <w:rsid w:val="00FB1EA2"/>
    <w:rsid w:val="00FB32FC"/>
    <w:rsid w:val="00FB36D6"/>
    <w:rsid w:val="00FB54E3"/>
    <w:rsid w:val="00FB7185"/>
    <w:rsid w:val="00FC0AD8"/>
    <w:rsid w:val="00FC26B1"/>
    <w:rsid w:val="00FC2CFC"/>
    <w:rsid w:val="00FC2FFB"/>
    <w:rsid w:val="00FC31B6"/>
    <w:rsid w:val="00FC6486"/>
    <w:rsid w:val="00FC77EA"/>
    <w:rsid w:val="00FD3F1E"/>
    <w:rsid w:val="00FD3F53"/>
    <w:rsid w:val="00FD57DE"/>
    <w:rsid w:val="00FD64C5"/>
    <w:rsid w:val="00FE050D"/>
    <w:rsid w:val="00FE1600"/>
    <w:rsid w:val="00FE263B"/>
    <w:rsid w:val="00FE2B66"/>
    <w:rsid w:val="00FE5F95"/>
    <w:rsid w:val="00FE7030"/>
    <w:rsid w:val="00FE7233"/>
    <w:rsid w:val="00FE7C20"/>
    <w:rsid w:val="00FF0932"/>
    <w:rsid w:val="00FF0E0A"/>
    <w:rsid w:val="00FF1349"/>
    <w:rsid w:val="00FF1445"/>
    <w:rsid w:val="00FF192C"/>
    <w:rsid w:val="00FF1AB7"/>
    <w:rsid w:val="00FF34D1"/>
    <w:rsid w:val="00FF5A2F"/>
    <w:rsid w:val="00FF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F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0F"/>
  </w:style>
  <w:style w:type="paragraph" w:styleId="Heading1">
    <w:name w:val="heading 1"/>
    <w:basedOn w:val="Normal"/>
    <w:next w:val="Normal"/>
    <w:link w:val="Heading1Char"/>
    <w:uiPriority w:val="9"/>
    <w:qFormat/>
    <w:rsid w:val="002A25A2"/>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7CC1"/>
    <w:pPr>
      <w:keepNext/>
      <w:keepLines/>
      <w:spacing w:before="48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7290"/>
    <w:pPr>
      <w:keepNext/>
      <w:keepLines/>
      <w:spacing w:before="24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7E1B"/>
    <w:pPr>
      <w:keepNext/>
      <w:keepLines/>
      <w:spacing w:before="200" w:after="1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3572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qFormat/>
    <w:rsid w:val="00764B1B"/>
    <w:rPr>
      <w:b/>
    </w:rPr>
  </w:style>
  <w:style w:type="paragraph" w:styleId="ListParagraph">
    <w:name w:val="List Paragraph"/>
    <w:basedOn w:val="Normal"/>
    <w:link w:val="ListParagraphChar"/>
    <w:uiPriority w:val="34"/>
    <w:qFormat/>
    <w:rsid w:val="00976351"/>
    <w:pPr>
      <w:ind w:left="720"/>
      <w:contextualSpacing/>
    </w:pPr>
  </w:style>
  <w:style w:type="paragraph" w:styleId="Header">
    <w:name w:val="header"/>
    <w:basedOn w:val="Normal"/>
    <w:link w:val="HeaderChar"/>
    <w:uiPriority w:val="99"/>
    <w:unhideWhenUsed/>
    <w:rsid w:val="00AF7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DF9"/>
  </w:style>
  <w:style w:type="paragraph" w:styleId="Footer">
    <w:name w:val="footer"/>
    <w:basedOn w:val="Normal"/>
    <w:link w:val="FooterChar"/>
    <w:uiPriority w:val="99"/>
    <w:unhideWhenUsed/>
    <w:rsid w:val="00AF7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DF9"/>
  </w:style>
  <w:style w:type="paragraph" w:styleId="BalloonText">
    <w:name w:val="Balloon Text"/>
    <w:basedOn w:val="Normal"/>
    <w:link w:val="BalloonTextChar"/>
    <w:uiPriority w:val="99"/>
    <w:semiHidden/>
    <w:unhideWhenUsed/>
    <w:rsid w:val="00441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3A8"/>
    <w:rPr>
      <w:rFonts w:ascii="Tahoma" w:hAnsi="Tahoma" w:cs="Tahoma"/>
      <w:sz w:val="16"/>
      <w:szCs w:val="16"/>
    </w:rPr>
  </w:style>
  <w:style w:type="character" w:styleId="CommentReference">
    <w:name w:val="annotation reference"/>
    <w:basedOn w:val="DefaultParagraphFont"/>
    <w:uiPriority w:val="99"/>
    <w:semiHidden/>
    <w:unhideWhenUsed/>
    <w:rsid w:val="00A5771E"/>
    <w:rPr>
      <w:sz w:val="16"/>
      <w:szCs w:val="16"/>
    </w:rPr>
  </w:style>
  <w:style w:type="paragraph" w:styleId="CommentText">
    <w:name w:val="annotation text"/>
    <w:basedOn w:val="Normal"/>
    <w:link w:val="CommentTextChar"/>
    <w:uiPriority w:val="99"/>
    <w:unhideWhenUsed/>
    <w:rsid w:val="00A5771E"/>
    <w:pPr>
      <w:spacing w:line="240" w:lineRule="auto"/>
    </w:pPr>
    <w:rPr>
      <w:sz w:val="20"/>
      <w:szCs w:val="20"/>
    </w:rPr>
  </w:style>
  <w:style w:type="character" w:customStyle="1" w:styleId="CommentTextChar">
    <w:name w:val="Comment Text Char"/>
    <w:basedOn w:val="DefaultParagraphFont"/>
    <w:link w:val="CommentText"/>
    <w:uiPriority w:val="99"/>
    <w:rsid w:val="00A5771E"/>
    <w:rPr>
      <w:sz w:val="20"/>
      <w:szCs w:val="20"/>
    </w:rPr>
  </w:style>
  <w:style w:type="paragraph" w:styleId="CommentSubject">
    <w:name w:val="annotation subject"/>
    <w:basedOn w:val="CommentText"/>
    <w:next w:val="CommentText"/>
    <w:link w:val="CommentSubjectChar"/>
    <w:uiPriority w:val="99"/>
    <w:semiHidden/>
    <w:unhideWhenUsed/>
    <w:rsid w:val="00A5771E"/>
    <w:rPr>
      <w:b/>
      <w:bCs/>
    </w:rPr>
  </w:style>
  <w:style w:type="character" w:customStyle="1" w:styleId="CommentSubjectChar">
    <w:name w:val="Comment Subject Char"/>
    <w:basedOn w:val="CommentTextChar"/>
    <w:link w:val="CommentSubject"/>
    <w:uiPriority w:val="99"/>
    <w:semiHidden/>
    <w:rsid w:val="00A5771E"/>
    <w:rPr>
      <w:b/>
      <w:bCs/>
      <w:sz w:val="20"/>
      <w:szCs w:val="20"/>
    </w:rPr>
  </w:style>
  <w:style w:type="paragraph" w:styleId="Revision">
    <w:name w:val="Revision"/>
    <w:hidden/>
    <w:uiPriority w:val="99"/>
    <w:semiHidden/>
    <w:rsid w:val="006D7BDF"/>
    <w:pPr>
      <w:spacing w:after="0" w:line="240" w:lineRule="auto"/>
    </w:pPr>
  </w:style>
  <w:style w:type="paragraph" w:styleId="Title">
    <w:name w:val="Title"/>
    <w:basedOn w:val="Normal"/>
    <w:next w:val="Normal"/>
    <w:link w:val="TitleChar"/>
    <w:uiPriority w:val="10"/>
    <w:qFormat/>
    <w:rsid w:val="00166B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B1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77CC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A25A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5D146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D146D"/>
    <w:rPr>
      <w:sz w:val="20"/>
      <w:szCs w:val="20"/>
    </w:rPr>
  </w:style>
  <w:style w:type="character" w:styleId="FootnoteReference">
    <w:name w:val="footnote reference"/>
    <w:basedOn w:val="DefaultParagraphFont"/>
    <w:uiPriority w:val="99"/>
    <w:semiHidden/>
    <w:unhideWhenUsed/>
    <w:qFormat/>
    <w:rsid w:val="005D146D"/>
    <w:rPr>
      <w:vertAlign w:val="superscript"/>
    </w:rPr>
  </w:style>
  <w:style w:type="character" w:customStyle="1" w:styleId="ListParagraphChar">
    <w:name w:val="List Paragraph Char"/>
    <w:basedOn w:val="DefaultParagraphFont"/>
    <w:link w:val="ListParagraph"/>
    <w:uiPriority w:val="34"/>
    <w:rsid w:val="00952540"/>
  </w:style>
  <w:style w:type="table" w:customStyle="1" w:styleId="TableGrid1">
    <w:name w:val="Table Grid1"/>
    <w:basedOn w:val="TableNormal"/>
    <w:next w:val="TableGrid"/>
    <w:uiPriority w:val="59"/>
    <w:rsid w:val="0095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772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7E1B"/>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AD234B"/>
    <w:pPr>
      <w:spacing w:after="0"/>
      <w:outlineLvl w:val="9"/>
    </w:pPr>
    <w:rPr>
      <w:lang w:eastAsia="ja-JP"/>
    </w:rPr>
  </w:style>
  <w:style w:type="paragraph" w:styleId="TOC1">
    <w:name w:val="toc 1"/>
    <w:basedOn w:val="Normal"/>
    <w:next w:val="Normal"/>
    <w:autoRedefine/>
    <w:uiPriority w:val="39"/>
    <w:unhideWhenUsed/>
    <w:rsid w:val="00AD234B"/>
    <w:pPr>
      <w:spacing w:after="100"/>
    </w:pPr>
  </w:style>
  <w:style w:type="paragraph" w:styleId="TOC2">
    <w:name w:val="toc 2"/>
    <w:basedOn w:val="Normal"/>
    <w:next w:val="Normal"/>
    <w:autoRedefine/>
    <w:uiPriority w:val="39"/>
    <w:unhideWhenUsed/>
    <w:rsid w:val="00AD234B"/>
    <w:pPr>
      <w:spacing w:after="100"/>
      <w:ind w:left="220"/>
    </w:pPr>
  </w:style>
  <w:style w:type="paragraph" w:styleId="TOC3">
    <w:name w:val="toc 3"/>
    <w:basedOn w:val="Normal"/>
    <w:next w:val="Normal"/>
    <w:autoRedefine/>
    <w:uiPriority w:val="39"/>
    <w:unhideWhenUsed/>
    <w:rsid w:val="00AD234B"/>
    <w:pPr>
      <w:spacing w:after="100"/>
      <w:ind w:left="440"/>
    </w:pPr>
  </w:style>
  <w:style w:type="character" w:styleId="Hyperlink">
    <w:name w:val="Hyperlink"/>
    <w:basedOn w:val="DefaultParagraphFont"/>
    <w:uiPriority w:val="99"/>
    <w:unhideWhenUsed/>
    <w:rsid w:val="00AD234B"/>
    <w:rPr>
      <w:color w:val="0000FF" w:themeColor="hyperlink"/>
      <w:u w:val="single"/>
    </w:rPr>
  </w:style>
  <w:style w:type="character" w:customStyle="1" w:styleId="Heading5Char">
    <w:name w:val="Heading 5 Char"/>
    <w:basedOn w:val="DefaultParagraphFont"/>
    <w:link w:val="Heading5"/>
    <w:uiPriority w:val="9"/>
    <w:rsid w:val="00C35724"/>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1E4ADD"/>
    <w:rPr>
      <w:i/>
      <w:iCs/>
    </w:rPr>
  </w:style>
  <w:style w:type="paragraph" w:styleId="Subtitle">
    <w:name w:val="Subtitle"/>
    <w:basedOn w:val="Normal"/>
    <w:next w:val="Normal"/>
    <w:link w:val="SubtitleChar"/>
    <w:uiPriority w:val="11"/>
    <w:qFormat/>
    <w:rsid w:val="00BD6B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D6BDC"/>
    <w:rPr>
      <w:rFonts w:asciiTheme="majorHAnsi" w:eastAsiaTheme="majorEastAsia" w:hAnsiTheme="majorHAnsi" w:cstheme="majorBidi"/>
      <w:i/>
      <w:iCs/>
      <w:color w:val="4F81BD" w:themeColor="accent1"/>
      <w:spacing w:val="15"/>
      <w:sz w:val="24"/>
      <w:szCs w:val="24"/>
    </w:rPr>
  </w:style>
  <w:style w:type="character" w:customStyle="1" w:styleId="st">
    <w:name w:val="st"/>
    <w:basedOn w:val="DefaultParagraphFont"/>
    <w:rsid w:val="00C25EB5"/>
  </w:style>
  <w:style w:type="paragraph" w:styleId="BodyText">
    <w:name w:val="Body Text"/>
    <w:aliases w:val="E3 Body Text"/>
    <w:basedOn w:val="Normal"/>
    <w:link w:val="BodyTextChar"/>
    <w:uiPriority w:val="99"/>
    <w:qFormat/>
    <w:rsid w:val="00667DFE"/>
    <w:pPr>
      <w:spacing w:before="300" w:after="300"/>
      <w:jc w:val="both"/>
    </w:pPr>
    <w:rPr>
      <w:rFonts w:ascii="Calibri" w:eastAsia="Times New Roman" w:hAnsi="Calibri" w:cs="Times New Roman"/>
      <w:color w:val="000000"/>
      <w:szCs w:val="24"/>
    </w:rPr>
  </w:style>
  <w:style w:type="character" w:customStyle="1" w:styleId="BodyTextChar">
    <w:name w:val="Body Text Char"/>
    <w:aliases w:val="E3 Body Text Char"/>
    <w:basedOn w:val="DefaultParagraphFont"/>
    <w:link w:val="BodyText"/>
    <w:uiPriority w:val="99"/>
    <w:rsid w:val="00667DFE"/>
    <w:rPr>
      <w:rFonts w:ascii="Calibri" w:eastAsia="Times New Roman" w:hAnsi="Calibri" w:cs="Times New Roman"/>
      <w:color w:val="000000"/>
      <w:szCs w:val="24"/>
    </w:rPr>
  </w:style>
  <w:style w:type="paragraph" w:styleId="NoSpacing">
    <w:name w:val="No Spacing"/>
    <w:uiPriority w:val="1"/>
    <w:qFormat/>
    <w:rsid w:val="00BE6C0F"/>
    <w:pPr>
      <w:spacing w:after="0" w:line="240" w:lineRule="auto"/>
    </w:pPr>
  </w:style>
  <w:style w:type="character" w:styleId="FollowedHyperlink">
    <w:name w:val="FollowedHyperlink"/>
    <w:basedOn w:val="DefaultParagraphFont"/>
    <w:uiPriority w:val="99"/>
    <w:semiHidden/>
    <w:unhideWhenUsed/>
    <w:rsid w:val="00B504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0F"/>
  </w:style>
  <w:style w:type="paragraph" w:styleId="Heading1">
    <w:name w:val="heading 1"/>
    <w:basedOn w:val="Normal"/>
    <w:next w:val="Normal"/>
    <w:link w:val="Heading1Char"/>
    <w:uiPriority w:val="9"/>
    <w:qFormat/>
    <w:rsid w:val="002A25A2"/>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7CC1"/>
    <w:pPr>
      <w:keepNext/>
      <w:keepLines/>
      <w:spacing w:before="48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7290"/>
    <w:pPr>
      <w:keepNext/>
      <w:keepLines/>
      <w:spacing w:before="24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7E1B"/>
    <w:pPr>
      <w:keepNext/>
      <w:keepLines/>
      <w:spacing w:before="200" w:after="1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3572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qFormat/>
    <w:rsid w:val="00764B1B"/>
    <w:rPr>
      <w:b/>
    </w:rPr>
  </w:style>
  <w:style w:type="paragraph" w:styleId="ListParagraph">
    <w:name w:val="List Paragraph"/>
    <w:basedOn w:val="Normal"/>
    <w:link w:val="ListParagraphChar"/>
    <w:uiPriority w:val="34"/>
    <w:qFormat/>
    <w:rsid w:val="00976351"/>
    <w:pPr>
      <w:ind w:left="720"/>
      <w:contextualSpacing/>
    </w:pPr>
  </w:style>
  <w:style w:type="paragraph" w:styleId="Header">
    <w:name w:val="header"/>
    <w:basedOn w:val="Normal"/>
    <w:link w:val="HeaderChar"/>
    <w:uiPriority w:val="99"/>
    <w:unhideWhenUsed/>
    <w:rsid w:val="00AF7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DF9"/>
  </w:style>
  <w:style w:type="paragraph" w:styleId="Footer">
    <w:name w:val="footer"/>
    <w:basedOn w:val="Normal"/>
    <w:link w:val="FooterChar"/>
    <w:uiPriority w:val="99"/>
    <w:unhideWhenUsed/>
    <w:rsid w:val="00AF7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DF9"/>
  </w:style>
  <w:style w:type="paragraph" w:styleId="BalloonText">
    <w:name w:val="Balloon Text"/>
    <w:basedOn w:val="Normal"/>
    <w:link w:val="BalloonTextChar"/>
    <w:uiPriority w:val="99"/>
    <w:semiHidden/>
    <w:unhideWhenUsed/>
    <w:rsid w:val="00441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3A8"/>
    <w:rPr>
      <w:rFonts w:ascii="Tahoma" w:hAnsi="Tahoma" w:cs="Tahoma"/>
      <w:sz w:val="16"/>
      <w:szCs w:val="16"/>
    </w:rPr>
  </w:style>
  <w:style w:type="character" w:styleId="CommentReference">
    <w:name w:val="annotation reference"/>
    <w:basedOn w:val="DefaultParagraphFont"/>
    <w:uiPriority w:val="99"/>
    <w:semiHidden/>
    <w:unhideWhenUsed/>
    <w:rsid w:val="00A5771E"/>
    <w:rPr>
      <w:sz w:val="16"/>
      <w:szCs w:val="16"/>
    </w:rPr>
  </w:style>
  <w:style w:type="paragraph" w:styleId="CommentText">
    <w:name w:val="annotation text"/>
    <w:basedOn w:val="Normal"/>
    <w:link w:val="CommentTextChar"/>
    <w:uiPriority w:val="99"/>
    <w:unhideWhenUsed/>
    <w:rsid w:val="00A5771E"/>
    <w:pPr>
      <w:spacing w:line="240" w:lineRule="auto"/>
    </w:pPr>
    <w:rPr>
      <w:sz w:val="20"/>
      <w:szCs w:val="20"/>
    </w:rPr>
  </w:style>
  <w:style w:type="character" w:customStyle="1" w:styleId="CommentTextChar">
    <w:name w:val="Comment Text Char"/>
    <w:basedOn w:val="DefaultParagraphFont"/>
    <w:link w:val="CommentText"/>
    <w:uiPriority w:val="99"/>
    <w:rsid w:val="00A5771E"/>
    <w:rPr>
      <w:sz w:val="20"/>
      <w:szCs w:val="20"/>
    </w:rPr>
  </w:style>
  <w:style w:type="paragraph" w:styleId="CommentSubject">
    <w:name w:val="annotation subject"/>
    <w:basedOn w:val="CommentText"/>
    <w:next w:val="CommentText"/>
    <w:link w:val="CommentSubjectChar"/>
    <w:uiPriority w:val="99"/>
    <w:semiHidden/>
    <w:unhideWhenUsed/>
    <w:rsid w:val="00A5771E"/>
    <w:rPr>
      <w:b/>
      <w:bCs/>
    </w:rPr>
  </w:style>
  <w:style w:type="character" w:customStyle="1" w:styleId="CommentSubjectChar">
    <w:name w:val="Comment Subject Char"/>
    <w:basedOn w:val="CommentTextChar"/>
    <w:link w:val="CommentSubject"/>
    <w:uiPriority w:val="99"/>
    <w:semiHidden/>
    <w:rsid w:val="00A5771E"/>
    <w:rPr>
      <w:b/>
      <w:bCs/>
      <w:sz w:val="20"/>
      <w:szCs w:val="20"/>
    </w:rPr>
  </w:style>
  <w:style w:type="paragraph" w:styleId="Revision">
    <w:name w:val="Revision"/>
    <w:hidden/>
    <w:uiPriority w:val="99"/>
    <w:semiHidden/>
    <w:rsid w:val="006D7BDF"/>
    <w:pPr>
      <w:spacing w:after="0" w:line="240" w:lineRule="auto"/>
    </w:pPr>
  </w:style>
  <w:style w:type="paragraph" w:styleId="Title">
    <w:name w:val="Title"/>
    <w:basedOn w:val="Normal"/>
    <w:next w:val="Normal"/>
    <w:link w:val="TitleChar"/>
    <w:uiPriority w:val="10"/>
    <w:qFormat/>
    <w:rsid w:val="00166B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B1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77CC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A25A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5D146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D146D"/>
    <w:rPr>
      <w:sz w:val="20"/>
      <w:szCs w:val="20"/>
    </w:rPr>
  </w:style>
  <w:style w:type="character" w:styleId="FootnoteReference">
    <w:name w:val="footnote reference"/>
    <w:basedOn w:val="DefaultParagraphFont"/>
    <w:uiPriority w:val="99"/>
    <w:semiHidden/>
    <w:unhideWhenUsed/>
    <w:qFormat/>
    <w:rsid w:val="005D146D"/>
    <w:rPr>
      <w:vertAlign w:val="superscript"/>
    </w:rPr>
  </w:style>
  <w:style w:type="character" w:customStyle="1" w:styleId="ListParagraphChar">
    <w:name w:val="List Paragraph Char"/>
    <w:basedOn w:val="DefaultParagraphFont"/>
    <w:link w:val="ListParagraph"/>
    <w:uiPriority w:val="34"/>
    <w:rsid w:val="00952540"/>
  </w:style>
  <w:style w:type="table" w:customStyle="1" w:styleId="TableGrid1">
    <w:name w:val="Table Grid1"/>
    <w:basedOn w:val="TableNormal"/>
    <w:next w:val="TableGrid"/>
    <w:uiPriority w:val="59"/>
    <w:rsid w:val="0095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772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7E1B"/>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AD234B"/>
    <w:pPr>
      <w:spacing w:after="0"/>
      <w:outlineLvl w:val="9"/>
    </w:pPr>
    <w:rPr>
      <w:lang w:eastAsia="ja-JP"/>
    </w:rPr>
  </w:style>
  <w:style w:type="paragraph" w:styleId="TOC1">
    <w:name w:val="toc 1"/>
    <w:basedOn w:val="Normal"/>
    <w:next w:val="Normal"/>
    <w:autoRedefine/>
    <w:uiPriority w:val="39"/>
    <w:unhideWhenUsed/>
    <w:rsid w:val="00AD234B"/>
    <w:pPr>
      <w:spacing w:after="100"/>
    </w:pPr>
  </w:style>
  <w:style w:type="paragraph" w:styleId="TOC2">
    <w:name w:val="toc 2"/>
    <w:basedOn w:val="Normal"/>
    <w:next w:val="Normal"/>
    <w:autoRedefine/>
    <w:uiPriority w:val="39"/>
    <w:unhideWhenUsed/>
    <w:rsid w:val="00AD234B"/>
    <w:pPr>
      <w:spacing w:after="100"/>
      <w:ind w:left="220"/>
    </w:pPr>
  </w:style>
  <w:style w:type="paragraph" w:styleId="TOC3">
    <w:name w:val="toc 3"/>
    <w:basedOn w:val="Normal"/>
    <w:next w:val="Normal"/>
    <w:autoRedefine/>
    <w:uiPriority w:val="39"/>
    <w:unhideWhenUsed/>
    <w:rsid w:val="00AD234B"/>
    <w:pPr>
      <w:spacing w:after="100"/>
      <w:ind w:left="440"/>
    </w:pPr>
  </w:style>
  <w:style w:type="character" w:styleId="Hyperlink">
    <w:name w:val="Hyperlink"/>
    <w:basedOn w:val="DefaultParagraphFont"/>
    <w:uiPriority w:val="99"/>
    <w:unhideWhenUsed/>
    <w:rsid w:val="00AD234B"/>
    <w:rPr>
      <w:color w:val="0000FF" w:themeColor="hyperlink"/>
      <w:u w:val="single"/>
    </w:rPr>
  </w:style>
  <w:style w:type="character" w:customStyle="1" w:styleId="Heading5Char">
    <w:name w:val="Heading 5 Char"/>
    <w:basedOn w:val="DefaultParagraphFont"/>
    <w:link w:val="Heading5"/>
    <w:uiPriority w:val="9"/>
    <w:rsid w:val="00C35724"/>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1E4ADD"/>
    <w:rPr>
      <w:i/>
      <w:iCs/>
    </w:rPr>
  </w:style>
  <w:style w:type="paragraph" w:styleId="Subtitle">
    <w:name w:val="Subtitle"/>
    <w:basedOn w:val="Normal"/>
    <w:next w:val="Normal"/>
    <w:link w:val="SubtitleChar"/>
    <w:uiPriority w:val="11"/>
    <w:qFormat/>
    <w:rsid w:val="00BD6B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D6BDC"/>
    <w:rPr>
      <w:rFonts w:asciiTheme="majorHAnsi" w:eastAsiaTheme="majorEastAsia" w:hAnsiTheme="majorHAnsi" w:cstheme="majorBidi"/>
      <w:i/>
      <w:iCs/>
      <w:color w:val="4F81BD" w:themeColor="accent1"/>
      <w:spacing w:val="15"/>
      <w:sz w:val="24"/>
      <w:szCs w:val="24"/>
    </w:rPr>
  </w:style>
  <w:style w:type="character" w:customStyle="1" w:styleId="st">
    <w:name w:val="st"/>
    <w:basedOn w:val="DefaultParagraphFont"/>
    <w:rsid w:val="00C25EB5"/>
  </w:style>
  <w:style w:type="paragraph" w:styleId="BodyText">
    <w:name w:val="Body Text"/>
    <w:aliases w:val="E3 Body Text"/>
    <w:basedOn w:val="Normal"/>
    <w:link w:val="BodyTextChar"/>
    <w:uiPriority w:val="99"/>
    <w:qFormat/>
    <w:rsid w:val="00667DFE"/>
    <w:pPr>
      <w:spacing w:before="300" w:after="300"/>
      <w:jc w:val="both"/>
    </w:pPr>
    <w:rPr>
      <w:rFonts w:ascii="Calibri" w:eastAsia="Times New Roman" w:hAnsi="Calibri" w:cs="Times New Roman"/>
      <w:color w:val="000000"/>
      <w:szCs w:val="24"/>
    </w:rPr>
  </w:style>
  <w:style w:type="character" w:customStyle="1" w:styleId="BodyTextChar">
    <w:name w:val="Body Text Char"/>
    <w:aliases w:val="E3 Body Text Char"/>
    <w:basedOn w:val="DefaultParagraphFont"/>
    <w:link w:val="BodyText"/>
    <w:uiPriority w:val="99"/>
    <w:rsid w:val="00667DFE"/>
    <w:rPr>
      <w:rFonts w:ascii="Calibri" w:eastAsia="Times New Roman" w:hAnsi="Calibri" w:cs="Times New Roman"/>
      <w:color w:val="000000"/>
      <w:szCs w:val="24"/>
    </w:rPr>
  </w:style>
  <w:style w:type="paragraph" w:styleId="NoSpacing">
    <w:name w:val="No Spacing"/>
    <w:uiPriority w:val="1"/>
    <w:qFormat/>
    <w:rsid w:val="00BE6C0F"/>
    <w:pPr>
      <w:spacing w:after="0" w:line="240" w:lineRule="auto"/>
    </w:pPr>
  </w:style>
  <w:style w:type="character" w:styleId="FollowedHyperlink">
    <w:name w:val="FollowedHyperlink"/>
    <w:basedOn w:val="DefaultParagraphFont"/>
    <w:uiPriority w:val="99"/>
    <w:semiHidden/>
    <w:unhideWhenUsed/>
    <w:rsid w:val="00B504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9230">
      <w:bodyDiv w:val="1"/>
      <w:marLeft w:val="0"/>
      <w:marRight w:val="0"/>
      <w:marTop w:val="0"/>
      <w:marBottom w:val="0"/>
      <w:divBdr>
        <w:top w:val="none" w:sz="0" w:space="0" w:color="auto"/>
        <w:left w:val="none" w:sz="0" w:space="0" w:color="auto"/>
        <w:bottom w:val="none" w:sz="0" w:space="0" w:color="auto"/>
        <w:right w:val="none" w:sz="0" w:space="0" w:color="auto"/>
      </w:divBdr>
      <w:divsChild>
        <w:div w:id="242226911">
          <w:marLeft w:val="547"/>
          <w:marRight w:val="0"/>
          <w:marTop w:val="82"/>
          <w:marBottom w:val="0"/>
          <w:divBdr>
            <w:top w:val="none" w:sz="0" w:space="0" w:color="auto"/>
            <w:left w:val="none" w:sz="0" w:space="0" w:color="auto"/>
            <w:bottom w:val="none" w:sz="0" w:space="0" w:color="auto"/>
            <w:right w:val="none" w:sz="0" w:space="0" w:color="auto"/>
          </w:divBdr>
        </w:div>
      </w:divsChild>
    </w:div>
    <w:div w:id="382294998">
      <w:bodyDiv w:val="1"/>
      <w:marLeft w:val="0"/>
      <w:marRight w:val="0"/>
      <w:marTop w:val="0"/>
      <w:marBottom w:val="0"/>
      <w:divBdr>
        <w:top w:val="none" w:sz="0" w:space="0" w:color="auto"/>
        <w:left w:val="none" w:sz="0" w:space="0" w:color="auto"/>
        <w:bottom w:val="none" w:sz="0" w:space="0" w:color="auto"/>
        <w:right w:val="none" w:sz="0" w:space="0" w:color="auto"/>
      </w:divBdr>
    </w:div>
    <w:div w:id="419377246">
      <w:bodyDiv w:val="1"/>
      <w:marLeft w:val="0"/>
      <w:marRight w:val="0"/>
      <w:marTop w:val="0"/>
      <w:marBottom w:val="0"/>
      <w:divBdr>
        <w:top w:val="none" w:sz="0" w:space="0" w:color="auto"/>
        <w:left w:val="none" w:sz="0" w:space="0" w:color="auto"/>
        <w:bottom w:val="none" w:sz="0" w:space="0" w:color="auto"/>
        <w:right w:val="none" w:sz="0" w:space="0" w:color="auto"/>
      </w:divBdr>
    </w:div>
    <w:div w:id="554238012">
      <w:bodyDiv w:val="1"/>
      <w:marLeft w:val="0"/>
      <w:marRight w:val="0"/>
      <w:marTop w:val="0"/>
      <w:marBottom w:val="0"/>
      <w:divBdr>
        <w:top w:val="none" w:sz="0" w:space="0" w:color="auto"/>
        <w:left w:val="none" w:sz="0" w:space="0" w:color="auto"/>
        <w:bottom w:val="none" w:sz="0" w:space="0" w:color="auto"/>
        <w:right w:val="none" w:sz="0" w:space="0" w:color="auto"/>
      </w:divBdr>
    </w:div>
    <w:div w:id="612905394">
      <w:bodyDiv w:val="1"/>
      <w:marLeft w:val="0"/>
      <w:marRight w:val="0"/>
      <w:marTop w:val="0"/>
      <w:marBottom w:val="0"/>
      <w:divBdr>
        <w:top w:val="none" w:sz="0" w:space="0" w:color="auto"/>
        <w:left w:val="none" w:sz="0" w:space="0" w:color="auto"/>
        <w:bottom w:val="none" w:sz="0" w:space="0" w:color="auto"/>
        <w:right w:val="none" w:sz="0" w:space="0" w:color="auto"/>
      </w:divBdr>
    </w:div>
    <w:div w:id="846866275">
      <w:bodyDiv w:val="1"/>
      <w:marLeft w:val="0"/>
      <w:marRight w:val="0"/>
      <w:marTop w:val="0"/>
      <w:marBottom w:val="0"/>
      <w:divBdr>
        <w:top w:val="none" w:sz="0" w:space="0" w:color="auto"/>
        <w:left w:val="none" w:sz="0" w:space="0" w:color="auto"/>
        <w:bottom w:val="none" w:sz="0" w:space="0" w:color="auto"/>
        <w:right w:val="none" w:sz="0" w:space="0" w:color="auto"/>
      </w:divBdr>
      <w:divsChild>
        <w:div w:id="205070941">
          <w:marLeft w:val="547"/>
          <w:marRight w:val="0"/>
          <w:marTop w:val="115"/>
          <w:marBottom w:val="0"/>
          <w:divBdr>
            <w:top w:val="none" w:sz="0" w:space="0" w:color="auto"/>
            <w:left w:val="none" w:sz="0" w:space="0" w:color="auto"/>
            <w:bottom w:val="none" w:sz="0" w:space="0" w:color="auto"/>
            <w:right w:val="none" w:sz="0" w:space="0" w:color="auto"/>
          </w:divBdr>
        </w:div>
        <w:div w:id="271712743">
          <w:marLeft w:val="1166"/>
          <w:marRight w:val="0"/>
          <w:marTop w:val="96"/>
          <w:marBottom w:val="0"/>
          <w:divBdr>
            <w:top w:val="none" w:sz="0" w:space="0" w:color="auto"/>
            <w:left w:val="none" w:sz="0" w:space="0" w:color="auto"/>
            <w:bottom w:val="none" w:sz="0" w:space="0" w:color="auto"/>
            <w:right w:val="none" w:sz="0" w:space="0" w:color="auto"/>
          </w:divBdr>
        </w:div>
        <w:div w:id="507134678">
          <w:marLeft w:val="1166"/>
          <w:marRight w:val="0"/>
          <w:marTop w:val="96"/>
          <w:marBottom w:val="0"/>
          <w:divBdr>
            <w:top w:val="none" w:sz="0" w:space="0" w:color="auto"/>
            <w:left w:val="none" w:sz="0" w:space="0" w:color="auto"/>
            <w:bottom w:val="none" w:sz="0" w:space="0" w:color="auto"/>
            <w:right w:val="none" w:sz="0" w:space="0" w:color="auto"/>
          </w:divBdr>
        </w:div>
        <w:div w:id="596793414">
          <w:marLeft w:val="1166"/>
          <w:marRight w:val="0"/>
          <w:marTop w:val="96"/>
          <w:marBottom w:val="0"/>
          <w:divBdr>
            <w:top w:val="none" w:sz="0" w:space="0" w:color="auto"/>
            <w:left w:val="none" w:sz="0" w:space="0" w:color="auto"/>
            <w:bottom w:val="none" w:sz="0" w:space="0" w:color="auto"/>
            <w:right w:val="none" w:sz="0" w:space="0" w:color="auto"/>
          </w:divBdr>
        </w:div>
        <w:div w:id="601492431">
          <w:marLeft w:val="1800"/>
          <w:marRight w:val="0"/>
          <w:marTop w:val="86"/>
          <w:marBottom w:val="0"/>
          <w:divBdr>
            <w:top w:val="none" w:sz="0" w:space="0" w:color="auto"/>
            <w:left w:val="none" w:sz="0" w:space="0" w:color="auto"/>
            <w:bottom w:val="none" w:sz="0" w:space="0" w:color="auto"/>
            <w:right w:val="none" w:sz="0" w:space="0" w:color="auto"/>
          </w:divBdr>
        </w:div>
        <w:div w:id="776872268">
          <w:marLeft w:val="547"/>
          <w:marRight w:val="0"/>
          <w:marTop w:val="115"/>
          <w:marBottom w:val="0"/>
          <w:divBdr>
            <w:top w:val="none" w:sz="0" w:space="0" w:color="auto"/>
            <w:left w:val="none" w:sz="0" w:space="0" w:color="auto"/>
            <w:bottom w:val="none" w:sz="0" w:space="0" w:color="auto"/>
            <w:right w:val="none" w:sz="0" w:space="0" w:color="auto"/>
          </w:divBdr>
        </w:div>
        <w:div w:id="1768191217">
          <w:marLeft w:val="547"/>
          <w:marRight w:val="0"/>
          <w:marTop w:val="115"/>
          <w:marBottom w:val="0"/>
          <w:divBdr>
            <w:top w:val="none" w:sz="0" w:space="0" w:color="auto"/>
            <w:left w:val="none" w:sz="0" w:space="0" w:color="auto"/>
            <w:bottom w:val="none" w:sz="0" w:space="0" w:color="auto"/>
            <w:right w:val="none" w:sz="0" w:space="0" w:color="auto"/>
          </w:divBdr>
        </w:div>
        <w:div w:id="2082747591">
          <w:marLeft w:val="1800"/>
          <w:marRight w:val="0"/>
          <w:marTop w:val="86"/>
          <w:marBottom w:val="0"/>
          <w:divBdr>
            <w:top w:val="none" w:sz="0" w:space="0" w:color="auto"/>
            <w:left w:val="none" w:sz="0" w:space="0" w:color="auto"/>
            <w:bottom w:val="none" w:sz="0" w:space="0" w:color="auto"/>
            <w:right w:val="none" w:sz="0" w:space="0" w:color="auto"/>
          </w:divBdr>
        </w:div>
        <w:div w:id="2087721893">
          <w:marLeft w:val="1166"/>
          <w:marRight w:val="0"/>
          <w:marTop w:val="96"/>
          <w:marBottom w:val="0"/>
          <w:divBdr>
            <w:top w:val="none" w:sz="0" w:space="0" w:color="auto"/>
            <w:left w:val="none" w:sz="0" w:space="0" w:color="auto"/>
            <w:bottom w:val="none" w:sz="0" w:space="0" w:color="auto"/>
            <w:right w:val="none" w:sz="0" w:space="0" w:color="auto"/>
          </w:divBdr>
        </w:div>
      </w:divsChild>
    </w:div>
    <w:div w:id="899747556">
      <w:bodyDiv w:val="1"/>
      <w:marLeft w:val="0"/>
      <w:marRight w:val="0"/>
      <w:marTop w:val="0"/>
      <w:marBottom w:val="0"/>
      <w:divBdr>
        <w:top w:val="none" w:sz="0" w:space="0" w:color="auto"/>
        <w:left w:val="none" w:sz="0" w:space="0" w:color="auto"/>
        <w:bottom w:val="none" w:sz="0" w:space="0" w:color="auto"/>
        <w:right w:val="none" w:sz="0" w:space="0" w:color="auto"/>
      </w:divBdr>
      <w:divsChild>
        <w:div w:id="1835291655">
          <w:marLeft w:val="547"/>
          <w:marRight w:val="0"/>
          <w:marTop w:val="82"/>
          <w:marBottom w:val="0"/>
          <w:divBdr>
            <w:top w:val="none" w:sz="0" w:space="0" w:color="auto"/>
            <w:left w:val="none" w:sz="0" w:space="0" w:color="auto"/>
            <w:bottom w:val="none" w:sz="0" w:space="0" w:color="auto"/>
            <w:right w:val="none" w:sz="0" w:space="0" w:color="auto"/>
          </w:divBdr>
        </w:div>
      </w:divsChild>
    </w:div>
    <w:div w:id="988486756">
      <w:bodyDiv w:val="1"/>
      <w:marLeft w:val="0"/>
      <w:marRight w:val="0"/>
      <w:marTop w:val="0"/>
      <w:marBottom w:val="0"/>
      <w:divBdr>
        <w:top w:val="none" w:sz="0" w:space="0" w:color="auto"/>
        <w:left w:val="none" w:sz="0" w:space="0" w:color="auto"/>
        <w:bottom w:val="none" w:sz="0" w:space="0" w:color="auto"/>
        <w:right w:val="none" w:sz="0" w:space="0" w:color="auto"/>
      </w:divBdr>
      <w:divsChild>
        <w:div w:id="1326978985">
          <w:marLeft w:val="547"/>
          <w:marRight w:val="0"/>
          <w:marTop w:val="82"/>
          <w:marBottom w:val="0"/>
          <w:divBdr>
            <w:top w:val="none" w:sz="0" w:space="0" w:color="auto"/>
            <w:left w:val="none" w:sz="0" w:space="0" w:color="auto"/>
            <w:bottom w:val="none" w:sz="0" w:space="0" w:color="auto"/>
            <w:right w:val="none" w:sz="0" w:space="0" w:color="auto"/>
          </w:divBdr>
        </w:div>
      </w:divsChild>
    </w:div>
    <w:div w:id="1084834942">
      <w:bodyDiv w:val="1"/>
      <w:marLeft w:val="0"/>
      <w:marRight w:val="0"/>
      <w:marTop w:val="0"/>
      <w:marBottom w:val="0"/>
      <w:divBdr>
        <w:top w:val="none" w:sz="0" w:space="0" w:color="auto"/>
        <w:left w:val="none" w:sz="0" w:space="0" w:color="auto"/>
        <w:bottom w:val="none" w:sz="0" w:space="0" w:color="auto"/>
        <w:right w:val="none" w:sz="0" w:space="0" w:color="auto"/>
      </w:divBdr>
    </w:div>
    <w:div w:id="1103526985">
      <w:bodyDiv w:val="1"/>
      <w:marLeft w:val="0"/>
      <w:marRight w:val="0"/>
      <w:marTop w:val="0"/>
      <w:marBottom w:val="0"/>
      <w:divBdr>
        <w:top w:val="none" w:sz="0" w:space="0" w:color="auto"/>
        <w:left w:val="none" w:sz="0" w:space="0" w:color="auto"/>
        <w:bottom w:val="none" w:sz="0" w:space="0" w:color="auto"/>
        <w:right w:val="none" w:sz="0" w:space="0" w:color="auto"/>
      </w:divBdr>
    </w:div>
    <w:div w:id="1256981877">
      <w:bodyDiv w:val="1"/>
      <w:marLeft w:val="0"/>
      <w:marRight w:val="0"/>
      <w:marTop w:val="0"/>
      <w:marBottom w:val="0"/>
      <w:divBdr>
        <w:top w:val="none" w:sz="0" w:space="0" w:color="auto"/>
        <w:left w:val="none" w:sz="0" w:space="0" w:color="auto"/>
        <w:bottom w:val="none" w:sz="0" w:space="0" w:color="auto"/>
        <w:right w:val="none" w:sz="0" w:space="0" w:color="auto"/>
      </w:divBdr>
    </w:div>
    <w:div w:id="1293293334">
      <w:bodyDiv w:val="1"/>
      <w:marLeft w:val="0"/>
      <w:marRight w:val="0"/>
      <w:marTop w:val="0"/>
      <w:marBottom w:val="0"/>
      <w:divBdr>
        <w:top w:val="none" w:sz="0" w:space="0" w:color="auto"/>
        <w:left w:val="none" w:sz="0" w:space="0" w:color="auto"/>
        <w:bottom w:val="none" w:sz="0" w:space="0" w:color="auto"/>
        <w:right w:val="none" w:sz="0" w:space="0" w:color="auto"/>
      </w:divBdr>
      <w:divsChild>
        <w:div w:id="1230919598">
          <w:marLeft w:val="547"/>
          <w:marRight w:val="0"/>
          <w:marTop w:val="82"/>
          <w:marBottom w:val="0"/>
          <w:divBdr>
            <w:top w:val="none" w:sz="0" w:space="0" w:color="auto"/>
            <w:left w:val="none" w:sz="0" w:space="0" w:color="auto"/>
            <w:bottom w:val="none" w:sz="0" w:space="0" w:color="auto"/>
            <w:right w:val="none" w:sz="0" w:space="0" w:color="auto"/>
          </w:divBdr>
        </w:div>
      </w:divsChild>
    </w:div>
    <w:div w:id="1706371907">
      <w:bodyDiv w:val="1"/>
      <w:marLeft w:val="0"/>
      <w:marRight w:val="0"/>
      <w:marTop w:val="0"/>
      <w:marBottom w:val="0"/>
      <w:divBdr>
        <w:top w:val="none" w:sz="0" w:space="0" w:color="auto"/>
        <w:left w:val="none" w:sz="0" w:space="0" w:color="auto"/>
        <w:bottom w:val="none" w:sz="0" w:space="0" w:color="auto"/>
        <w:right w:val="none" w:sz="0" w:space="0" w:color="auto"/>
      </w:divBdr>
    </w:div>
    <w:div w:id="1737707036">
      <w:bodyDiv w:val="1"/>
      <w:marLeft w:val="0"/>
      <w:marRight w:val="0"/>
      <w:marTop w:val="0"/>
      <w:marBottom w:val="0"/>
      <w:divBdr>
        <w:top w:val="none" w:sz="0" w:space="0" w:color="auto"/>
        <w:left w:val="none" w:sz="0" w:space="0" w:color="auto"/>
        <w:bottom w:val="none" w:sz="0" w:space="0" w:color="auto"/>
        <w:right w:val="none" w:sz="0" w:space="0" w:color="auto"/>
      </w:divBdr>
    </w:div>
    <w:div w:id="1908030019">
      <w:bodyDiv w:val="1"/>
      <w:marLeft w:val="0"/>
      <w:marRight w:val="0"/>
      <w:marTop w:val="0"/>
      <w:marBottom w:val="0"/>
      <w:divBdr>
        <w:top w:val="none" w:sz="0" w:space="0" w:color="auto"/>
        <w:left w:val="none" w:sz="0" w:space="0" w:color="auto"/>
        <w:bottom w:val="none" w:sz="0" w:space="0" w:color="auto"/>
        <w:right w:val="none" w:sz="0" w:space="0" w:color="auto"/>
      </w:divBdr>
    </w:div>
    <w:div w:id="1966226977">
      <w:bodyDiv w:val="1"/>
      <w:marLeft w:val="0"/>
      <w:marRight w:val="0"/>
      <w:marTop w:val="0"/>
      <w:marBottom w:val="0"/>
      <w:divBdr>
        <w:top w:val="none" w:sz="0" w:space="0" w:color="auto"/>
        <w:left w:val="none" w:sz="0" w:space="0" w:color="auto"/>
        <w:bottom w:val="none" w:sz="0" w:space="0" w:color="auto"/>
        <w:right w:val="none" w:sz="0" w:space="0" w:color="auto"/>
      </w:divBdr>
    </w:div>
    <w:div w:id="19782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puc.ca.gov/General.aspx?id=6307" TargetMode="External"/><Relationship Id="rId1" Type="http://schemas.openxmlformats.org/officeDocument/2006/relationships/hyperlink" Target="http://www.cpuc.ca.gov/General.aspx?id=6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81C3-3D35-4A08-AC68-CAE7A6E9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energystaff</dc:creator>
  <cp:lastModifiedBy>Sandoval, Citlalli</cp:lastModifiedBy>
  <cp:revision>2</cp:revision>
  <cp:lastPrinted>2017-05-15T23:15:00Z</cp:lastPrinted>
  <dcterms:created xsi:type="dcterms:W3CDTF">2017-09-06T16:45:00Z</dcterms:created>
  <dcterms:modified xsi:type="dcterms:W3CDTF">2017-09-06T16:45:00Z</dcterms:modified>
</cp:coreProperties>
</file>