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7F0DE" w14:textId="77777777" w:rsidR="003E7703" w:rsidRPr="006C0183" w:rsidRDefault="00E1079E">
      <w:pPr>
        <w:rPr>
          <w:b/>
          <w:sz w:val="28"/>
          <w:szCs w:val="28"/>
        </w:rPr>
      </w:pPr>
      <w:bookmarkStart w:id="0" w:name="_GoBack"/>
      <w:bookmarkEnd w:id="0"/>
      <w:r w:rsidRPr="006C0183">
        <w:rPr>
          <w:b/>
          <w:sz w:val="28"/>
          <w:szCs w:val="28"/>
        </w:rPr>
        <w:t>IRP Modeling Advisory Group</w:t>
      </w:r>
    </w:p>
    <w:p w14:paraId="73D01790" w14:textId="77777777" w:rsidR="00E1079E" w:rsidRPr="006C0183" w:rsidRDefault="00E1079E">
      <w:pPr>
        <w:rPr>
          <w:b/>
          <w:sz w:val="24"/>
          <w:szCs w:val="24"/>
        </w:rPr>
      </w:pPr>
      <w:r w:rsidRPr="006C0183">
        <w:rPr>
          <w:b/>
          <w:sz w:val="24"/>
          <w:szCs w:val="24"/>
        </w:rPr>
        <w:t>Responses to Ques</w:t>
      </w:r>
      <w:r w:rsidR="00F476B1">
        <w:rPr>
          <w:b/>
          <w:sz w:val="24"/>
          <w:szCs w:val="24"/>
        </w:rPr>
        <w:t>tions Posed During Webinar #7 on March 29, 2018</w:t>
      </w:r>
    </w:p>
    <w:p w14:paraId="1124E1E2" w14:textId="77777777" w:rsidR="00E370B3" w:rsidRPr="006C0183" w:rsidRDefault="00E370B3">
      <w:pPr>
        <w:rPr>
          <w:b/>
          <w:sz w:val="24"/>
          <w:szCs w:val="24"/>
        </w:rPr>
      </w:pPr>
      <w:r w:rsidRPr="006C0183">
        <w:rPr>
          <w:b/>
          <w:sz w:val="24"/>
          <w:szCs w:val="24"/>
        </w:rPr>
        <w:t>Background</w:t>
      </w:r>
    </w:p>
    <w:p w14:paraId="4EFA443D" w14:textId="77777777" w:rsidR="00E370B3" w:rsidRDefault="00E370B3">
      <w:r>
        <w:t xml:space="preserve">Energy Division staff moderates the IRP Modeling Advisory Group (MAG), an informal, interactive forum to discuss the technical aspects of modeling to support the CPUC’s IRP process.  More details on participating in the MAG and previous materials are found at </w:t>
      </w:r>
      <w:hyperlink r:id="rId8" w:history="1">
        <w:r w:rsidR="00875508" w:rsidRPr="00875508">
          <w:rPr>
            <w:rStyle w:val="Hyperlink"/>
          </w:rPr>
          <w:t>the MAG</w:t>
        </w:r>
        <w:r w:rsidRPr="00875508">
          <w:rPr>
            <w:rStyle w:val="Hyperlink"/>
          </w:rPr>
          <w:t xml:space="preserve"> website</w:t>
        </w:r>
      </w:hyperlink>
      <w:r>
        <w:t>.  Staff hosted MAG webinar #</w:t>
      </w:r>
      <w:r w:rsidR="00F476B1">
        <w:t>7</w:t>
      </w:r>
      <w:r>
        <w:t xml:space="preserve"> on </w:t>
      </w:r>
      <w:r w:rsidR="00F476B1">
        <w:t>3</w:t>
      </w:r>
      <w:r>
        <w:t>/</w:t>
      </w:r>
      <w:r w:rsidR="00F476B1">
        <w:t>29</w:t>
      </w:r>
      <w:r>
        <w:t>/201</w:t>
      </w:r>
      <w:r w:rsidR="00F476B1">
        <w:t>8</w:t>
      </w:r>
      <w:r>
        <w:t xml:space="preserve"> </w:t>
      </w:r>
      <w:r w:rsidR="00F476B1">
        <w:t xml:space="preserve">and discussed next steps for production cost modeling to support the IRP process, </w:t>
      </w:r>
      <w:r>
        <w:t>introduce</w:t>
      </w:r>
      <w:r w:rsidR="00F476B1">
        <w:t>d the audience to data development for Energy Division’s SERVM model, and reviewed RESOLVE model results when using the 2017 IEPR demand forecast.</w:t>
      </w:r>
      <w:r>
        <w:t xml:space="preserve"> </w:t>
      </w:r>
      <w:r w:rsidR="00F476B1">
        <w:t xml:space="preserve"> The following are staff responses to questions</w:t>
      </w:r>
      <w:r w:rsidR="00875508">
        <w:t xml:space="preserve"> from the webinar</w:t>
      </w:r>
      <w:r w:rsidR="00F476B1">
        <w:t xml:space="preserve"> that required further investigation</w:t>
      </w:r>
      <w:r w:rsidR="0035648E">
        <w:t>.</w:t>
      </w:r>
    </w:p>
    <w:p w14:paraId="7218A748" w14:textId="77777777" w:rsidR="0035648E" w:rsidRPr="006C0183" w:rsidRDefault="0035648E">
      <w:pPr>
        <w:rPr>
          <w:b/>
          <w:sz w:val="24"/>
          <w:szCs w:val="24"/>
        </w:rPr>
      </w:pPr>
      <w:r w:rsidRPr="006C0183">
        <w:rPr>
          <w:b/>
          <w:sz w:val="24"/>
          <w:szCs w:val="24"/>
        </w:rPr>
        <w:t>Questions and Responses</w:t>
      </w:r>
    </w:p>
    <w:p w14:paraId="36D66E2B" w14:textId="77777777" w:rsidR="004F059A" w:rsidRDefault="00715A34" w:rsidP="004F059A">
      <w:pPr>
        <w:pStyle w:val="ListParagraph"/>
        <w:numPr>
          <w:ilvl w:val="0"/>
          <w:numId w:val="1"/>
        </w:numPr>
      </w:pPr>
      <w:r>
        <w:t>How do you compare the statutory requirements for doubling of additional achievable energy efficiency (AAEE) to the projections of AAEE in the 2017 IEPR?</w:t>
      </w:r>
    </w:p>
    <w:p w14:paraId="7AEC27EB" w14:textId="3088BE9A" w:rsidR="000A6B3C" w:rsidRDefault="000A6B3C" w:rsidP="000A6B3C">
      <w:pPr>
        <w:pStyle w:val="ListParagraph"/>
        <w:rPr>
          <w:color w:val="0070C0"/>
        </w:rPr>
      </w:pPr>
      <w:r>
        <w:rPr>
          <w:color w:val="0070C0"/>
        </w:rPr>
        <w:t>See t</w:t>
      </w:r>
      <w:r w:rsidRPr="000A6B3C">
        <w:rPr>
          <w:color w:val="0070C0"/>
        </w:rPr>
        <w:t xml:space="preserve">he workbook </w:t>
      </w:r>
      <w:hyperlink r:id="rId9" w:tooltip="Comparison of 2017 IEPR AAEE to Doubling Target Statewide (4/23/18)" w:history="1">
        <w:r w:rsidR="00121628" w:rsidRPr="00121628">
          <w:rPr>
            <w:rStyle w:val="Hyperlink"/>
            <w:lang w:val="en"/>
          </w:rPr>
          <w:t xml:space="preserve">Comparison of 2017 IEPR AAEE to Doubling Target Statewide </w:t>
        </w:r>
      </w:hyperlink>
      <w:r>
        <w:rPr>
          <w:color w:val="0070C0"/>
        </w:rPr>
        <w:t xml:space="preserve">on </w:t>
      </w:r>
      <w:hyperlink r:id="rId10" w:history="1">
        <w:r w:rsidR="00121628" w:rsidRPr="00875508">
          <w:rPr>
            <w:rStyle w:val="Hyperlink"/>
          </w:rPr>
          <w:t>the MAG website</w:t>
        </w:r>
      </w:hyperlink>
      <w:r w:rsidR="00121628">
        <w:rPr>
          <w:rStyle w:val="Hyperlink"/>
        </w:rPr>
        <w:t xml:space="preserve"> </w:t>
      </w:r>
      <w:r>
        <w:rPr>
          <w:color w:val="0070C0"/>
        </w:rPr>
        <w:t xml:space="preserve">that </w:t>
      </w:r>
      <w:r w:rsidRPr="000A6B3C">
        <w:rPr>
          <w:color w:val="0070C0"/>
        </w:rPr>
        <w:t xml:space="preserve">compares </w:t>
      </w:r>
      <w:r>
        <w:rPr>
          <w:color w:val="0070C0"/>
        </w:rPr>
        <w:t>energy savings from the</w:t>
      </w:r>
      <w:r w:rsidRPr="000A6B3C">
        <w:rPr>
          <w:color w:val="0070C0"/>
        </w:rPr>
        <w:t xml:space="preserve"> 2017</w:t>
      </w:r>
      <w:r>
        <w:rPr>
          <w:color w:val="0070C0"/>
        </w:rPr>
        <w:t xml:space="preserve"> IEPR</w:t>
      </w:r>
      <w:r w:rsidRPr="000A6B3C">
        <w:rPr>
          <w:color w:val="0070C0"/>
        </w:rPr>
        <w:t xml:space="preserve"> Mid-Mid</w:t>
      </w:r>
      <w:r>
        <w:rPr>
          <w:color w:val="0070C0"/>
        </w:rPr>
        <w:t xml:space="preserve"> AAEE </w:t>
      </w:r>
      <w:r w:rsidRPr="000A6B3C">
        <w:rPr>
          <w:color w:val="0070C0"/>
        </w:rPr>
        <w:t>(Scenario 3), 2017</w:t>
      </w:r>
      <w:r>
        <w:rPr>
          <w:color w:val="0070C0"/>
        </w:rPr>
        <w:t xml:space="preserve"> IEPR Mid-</w:t>
      </w:r>
      <w:r w:rsidRPr="000A6B3C">
        <w:rPr>
          <w:color w:val="0070C0"/>
        </w:rPr>
        <w:t>High</w:t>
      </w:r>
      <w:r>
        <w:rPr>
          <w:color w:val="0070C0"/>
        </w:rPr>
        <w:t>-</w:t>
      </w:r>
      <w:r w:rsidRPr="000A6B3C">
        <w:rPr>
          <w:color w:val="0070C0"/>
        </w:rPr>
        <w:t>Plus</w:t>
      </w:r>
      <w:r>
        <w:rPr>
          <w:color w:val="0070C0"/>
        </w:rPr>
        <w:t xml:space="preserve"> AAEE</w:t>
      </w:r>
      <w:r w:rsidRPr="000A6B3C">
        <w:rPr>
          <w:color w:val="0070C0"/>
        </w:rPr>
        <w:t xml:space="preserve"> (Scenario 6)</w:t>
      </w:r>
      <w:r>
        <w:rPr>
          <w:color w:val="0070C0"/>
        </w:rPr>
        <w:t>,</w:t>
      </w:r>
      <w:r w:rsidRPr="000A6B3C">
        <w:rPr>
          <w:color w:val="0070C0"/>
        </w:rPr>
        <w:t xml:space="preserve"> and the doubling targets ado</w:t>
      </w:r>
      <w:r>
        <w:rPr>
          <w:color w:val="0070C0"/>
        </w:rPr>
        <w:t>pted by the CEC in October 2017</w:t>
      </w:r>
      <w:r w:rsidRPr="000A6B3C">
        <w:rPr>
          <w:color w:val="0070C0"/>
        </w:rPr>
        <w:t xml:space="preserve"> ( </w:t>
      </w:r>
      <w:hyperlink r:id="rId11" w:tgtFrame="_blank" w:tooltip="http://docketpublic.energy.ca.gov/PublicDocuments/17-IEPR-06/TN221616_20171025T135101_SB350_TARGETS_FINAL.xlsx&#10;Cmd+Click to follow link" w:history="1">
        <w:r w:rsidRPr="000A6B3C">
          <w:rPr>
            <w:rStyle w:val="Hyperlink"/>
          </w:rPr>
          <w:t>SB350 TARGETS FINAL</w:t>
        </w:r>
      </w:hyperlink>
      <w:r w:rsidRPr="000A6B3C">
        <w:rPr>
          <w:color w:val="0070C0"/>
        </w:rPr>
        <w:t>; </w:t>
      </w:r>
      <w:hyperlink r:id="rId12" w:tgtFrame="_blank" w:history="1">
        <w:r w:rsidRPr="000A6B3C">
          <w:rPr>
            <w:rStyle w:val="Hyperlink"/>
          </w:rPr>
          <w:t>Senate Bill 350 Doubling Energy Efficiency Savings by 2030</w:t>
        </w:r>
      </w:hyperlink>
      <w:r w:rsidRPr="000A6B3C">
        <w:rPr>
          <w:color w:val="0070C0"/>
        </w:rPr>
        <w:t>)</w:t>
      </w:r>
      <w:r>
        <w:rPr>
          <w:color w:val="0070C0"/>
        </w:rPr>
        <w:t>.</w:t>
      </w:r>
      <w:r w:rsidR="008B7428">
        <w:rPr>
          <w:color w:val="0070C0"/>
        </w:rPr>
        <w:t xml:space="preserve">  </w:t>
      </w:r>
      <w:r w:rsidRPr="000A6B3C">
        <w:rPr>
          <w:color w:val="0070C0"/>
        </w:rPr>
        <w:t>The comparison shows that the S</w:t>
      </w:r>
      <w:r w:rsidR="008B7428">
        <w:rPr>
          <w:color w:val="0070C0"/>
        </w:rPr>
        <w:t>tatewide</w:t>
      </w:r>
      <w:r w:rsidRPr="000A6B3C">
        <w:rPr>
          <w:color w:val="0070C0"/>
        </w:rPr>
        <w:t xml:space="preserve"> 2017</w:t>
      </w:r>
      <w:r w:rsidR="008B7428">
        <w:rPr>
          <w:color w:val="0070C0"/>
        </w:rPr>
        <w:t xml:space="preserve"> IEPR</w:t>
      </w:r>
      <w:r w:rsidRPr="000A6B3C">
        <w:rPr>
          <w:color w:val="0070C0"/>
        </w:rPr>
        <w:t xml:space="preserve"> Mid-Mid AAEE is about 50% of the doubling target in 2030</w:t>
      </w:r>
      <w:r w:rsidR="008B7428">
        <w:rPr>
          <w:color w:val="0070C0"/>
        </w:rPr>
        <w:t xml:space="preserve">, while the </w:t>
      </w:r>
      <w:r w:rsidRPr="000A6B3C">
        <w:rPr>
          <w:color w:val="0070C0"/>
        </w:rPr>
        <w:t>S</w:t>
      </w:r>
      <w:r w:rsidR="008B7428">
        <w:rPr>
          <w:color w:val="0070C0"/>
        </w:rPr>
        <w:t>tatewide</w:t>
      </w:r>
      <w:r w:rsidRPr="000A6B3C">
        <w:rPr>
          <w:color w:val="0070C0"/>
        </w:rPr>
        <w:t xml:space="preserve"> 2017 Mid</w:t>
      </w:r>
      <w:r w:rsidR="008B7428">
        <w:rPr>
          <w:color w:val="0070C0"/>
        </w:rPr>
        <w:t>-</w:t>
      </w:r>
      <w:r w:rsidRPr="000A6B3C">
        <w:rPr>
          <w:color w:val="0070C0"/>
        </w:rPr>
        <w:t>High-Plus</w:t>
      </w:r>
      <w:r w:rsidR="00A507C1">
        <w:rPr>
          <w:color w:val="0070C0"/>
        </w:rPr>
        <w:t xml:space="preserve"> AAEE</w:t>
      </w:r>
      <w:r w:rsidRPr="000A6B3C">
        <w:rPr>
          <w:color w:val="0070C0"/>
        </w:rPr>
        <w:t xml:space="preserve"> is about </w:t>
      </w:r>
      <w:r w:rsidR="008B7428">
        <w:rPr>
          <w:color w:val="0070C0"/>
        </w:rPr>
        <w:t>67</w:t>
      </w:r>
      <w:r w:rsidRPr="000A6B3C">
        <w:rPr>
          <w:color w:val="0070C0"/>
        </w:rPr>
        <w:t>% of the doubling targets in 2030.</w:t>
      </w:r>
      <w:r w:rsidR="008B7428">
        <w:rPr>
          <w:color w:val="0070C0"/>
        </w:rPr>
        <w:t xml:space="preserve">  The comparison is done with </w:t>
      </w:r>
      <w:proofErr w:type="gramStart"/>
      <w:r w:rsidR="008B7428">
        <w:rPr>
          <w:color w:val="0070C0"/>
        </w:rPr>
        <w:t>S</w:t>
      </w:r>
      <w:r w:rsidR="008B7428" w:rsidRPr="000A6B3C">
        <w:rPr>
          <w:color w:val="0070C0"/>
        </w:rPr>
        <w:t>tatewide</w:t>
      </w:r>
      <w:proofErr w:type="gramEnd"/>
      <w:r w:rsidR="008B7428">
        <w:rPr>
          <w:color w:val="0070C0"/>
        </w:rPr>
        <w:t xml:space="preserve"> values since</w:t>
      </w:r>
      <w:r w:rsidR="008B7428" w:rsidRPr="000A6B3C">
        <w:rPr>
          <w:color w:val="0070C0"/>
        </w:rPr>
        <w:t xml:space="preserve"> the doubling targets are based on the doubling of </w:t>
      </w:r>
      <w:r w:rsidR="008B7428">
        <w:rPr>
          <w:color w:val="0070C0"/>
        </w:rPr>
        <w:t>IOU AAEE and POU AAEE combined</w:t>
      </w:r>
      <w:r w:rsidR="008B7428" w:rsidRPr="000A6B3C">
        <w:rPr>
          <w:color w:val="0070C0"/>
        </w:rPr>
        <w:t>.</w:t>
      </w:r>
    </w:p>
    <w:p w14:paraId="1202B1DB" w14:textId="77777777" w:rsidR="008B7428" w:rsidRPr="000A6B3C" w:rsidRDefault="008B7428" w:rsidP="000A6B3C">
      <w:pPr>
        <w:pStyle w:val="ListParagraph"/>
        <w:rPr>
          <w:color w:val="0070C0"/>
        </w:rPr>
      </w:pPr>
    </w:p>
    <w:p w14:paraId="50C468DE" w14:textId="793111A9" w:rsidR="000A6B3C" w:rsidRDefault="008B7428" w:rsidP="000A6B3C">
      <w:pPr>
        <w:pStyle w:val="ListParagraph"/>
        <w:rPr>
          <w:color w:val="0070C0"/>
        </w:rPr>
      </w:pPr>
      <w:r>
        <w:rPr>
          <w:color w:val="0070C0"/>
        </w:rPr>
        <w:t>Prior to comparison, t</w:t>
      </w:r>
      <w:r w:rsidR="000A6B3C" w:rsidRPr="000A6B3C">
        <w:rPr>
          <w:color w:val="0070C0"/>
        </w:rPr>
        <w:t>he 2017</w:t>
      </w:r>
      <w:r>
        <w:rPr>
          <w:color w:val="0070C0"/>
        </w:rPr>
        <w:t xml:space="preserve"> IEPR</w:t>
      </w:r>
      <w:r w:rsidR="000A6B3C" w:rsidRPr="000A6B3C">
        <w:rPr>
          <w:color w:val="0070C0"/>
        </w:rPr>
        <w:t xml:space="preserve"> AAEE scenarios were adjusted to reflect the same baseline as the doubling targets.</w:t>
      </w:r>
      <w:r>
        <w:rPr>
          <w:color w:val="0070C0"/>
        </w:rPr>
        <w:t xml:space="preserve"> </w:t>
      </w:r>
      <w:r w:rsidR="000A6B3C" w:rsidRPr="000A6B3C">
        <w:rPr>
          <w:color w:val="0070C0"/>
        </w:rPr>
        <w:t> The doubling targets were based on the 2015</w:t>
      </w:r>
      <w:r>
        <w:rPr>
          <w:color w:val="0070C0"/>
        </w:rPr>
        <w:t xml:space="preserve"> IEPR</w:t>
      </w:r>
      <w:r w:rsidR="000A6B3C" w:rsidRPr="000A6B3C">
        <w:rPr>
          <w:color w:val="0070C0"/>
        </w:rPr>
        <w:t xml:space="preserve"> AAEE</w:t>
      </w:r>
      <w:r>
        <w:rPr>
          <w:color w:val="0070C0"/>
        </w:rPr>
        <w:t xml:space="preserve"> scenarios</w:t>
      </w:r>
      <w:r w:rsidR="000A6B3C" w:rsidRPr="000A6B3C">
        <w:rPr>
          <w:color w:val="0070C0"/>
        </w:rPr>
        <w:t xml:space="preserve"> which contained savings streams </w:t>
      </w:r>
      <w:r>
        <w:rPr>
          <w:color w:val="0070C0"/>
        </w:rPr>
        <w:t xml:space="preserve">that </w:t>
      </w:r>
      <w:r w:rsidR="000A6B3C" w:rsidRPr="000A6B3C">
        <w:rPr>
          <w:color w:val="0070C0"/>
        </w:rPr>
        <w:t xml:space="preserve">were included in the </w:t>
      </w:r>
      <w:r>
        <w:rPr>
          <w:color w:val="0070C0"/>
        </w:rPr>
        <w:t xml:space="preserve">2017 IEPR </w:t>
      </w:r>
      <w:r w:rsidR="000A6B3C" w:rsidRPr="000A6B3C">
        <w:rPr>
          <w:color w:val="0070C0"/>
        </w:rPr>
        <w:t>baseline</w:t>
      </w:r>
      <w:r>
        <w:rPr>
          <w:color w:val="0070C0"/>
        </w:rPr>
        <w:t xml:space="preserve"> load</w:t>
      </w:r>
      <w:r w:rsidR="000A6B3C" w:rsidRPr="000A6B3C">
        <w:rPr>
          <w:color w:val="0070C0"/>
        </w:rPr>
        <w:t xml:space="preserve"> forecast as part of the committed savings. </w:t>
      </w:r>
      <w:r>
        <w:rPr>
          <w:color w:val="0070C0"/>
        </w:rPr>
        <w:t xml:space="preserve"> T</w:t>
      </w:r>
      <w:r w:rsidR="000A6B3C" w:rsidRPr="000A6B3C">
        <w:rPr>
          <w:color w:val="0070C0"/>
        </w:rPr>
        <w:t>o enable comparison, these committed savings had to be manually extracted from the forecast model and added to the 2017</w:t>
      </w:r>
      <w:r>
        <w:rPr>
          <w:color w:val="0070C0"/>
        </w:rPr>
        <w:t xml:space="preserve"> IEPR</w:t>
      </w:r>
      <w:r w:rsidR="000A6B3C" w:rsidRPr="000A6B3C">
        <w:rPr>
          <w:color w:val="0070C0"/>
        </w:rPr>
        <w:t xml:space="preserve"> AAEE</w:t>
      </w:r>
      <w:r>
        <w:rPr>
          <w:color w:val="0070C0"/>
        </w:rPr>
        <w:t xml:space="preserve"> scenarios, as shown in the workbook</w:t>
      </w:r>
      <w:r w:rsidR="000A6B3C" w:rsidRPr="000A6B3C">
        <w:rPr>
          <w:color w:val="0070C0"/>
        </w:rPr>
        <w:t>.</w:t>
      </w:r>
    </w:p>
    <w:p w14:paraId="7ABEC13B" w14:textId="77777777" w:rsidR="008B7428" w:rsidRPr="000A6B3C" w:rsidRDefault="008B7428" w:rsidP="000A6B3C">
      <w:pPr>
        <w:pStyle w:val="ListParagraph"/>
        <w:rPr>
          <w:color w:val="0070C0"/>
        </w:rPr>
      </w:pPr>
    </w:p>
    <w:p w14:paraId="3089BCD3" w14:textId="77777777" w:rsidR="004F059A" w:rsidRDefault="00715A34" w:rsidP="004F059A">
      <w:pPr>
        <w:pStyle w:val="ListParagraph"/>
        <w:numPr>
          <w:ilvl w:val="0"/>
          <w:numId w:val="1"/>
        </w:numPr>
      </w:pPr>
      <w:r>
        <w:t>Will RESOLVE and SERVM use the most recent fuel price projections associated with the 2017 IEPR?</w:t>
      </w:r>
    </w:p>
    <w:p w14:paraId="70F5DF09" w14:textId="21616063" w:rsidR="00D6382C" w:rsidRDefault="00715A34" w:rsidP="004F059A">
      <w:pPr>
        <w:pStyle w:val="ListParagraph"/>
        <w:rPr>
          <w:color w:val="0070C0"/>
        </w:rPr>
      </w:pPr>
      <w:r>
        <w:rPr>
          <w:color w:val="0070C0"/>
        </w:rPr>
        <w:t>Yes</w:t>
      </w:r>
      <w:r w:rsidR="004F059A" w:rsidRPr="004F059A">
        <w:rPr>
          <w:color w:val="0070C0"/>
        </w:rPr>
        <w:t>.</w:t>
      </w:r>
      <w:r>
        <w:rPr>
          <w:color w:val="0070C0"/>
        </w:rPr>
        <w:t xml:space="preserve">  The SERVM model will </w:t>
      </w:r>
      <w:r w:rsidR="00B60DCF">
        <w:rPr>
          <w:color w:val="0070C0"/>
        </w:rPr>
        <w:t>use</w:t>
      </w:r>
      <w:r>
        <w:rPr>
          <w:color w:val="0070C0"/>
        </w:rPr>
        <w:t xml:space="preserve"> </w:t>
      </w:r>
      <w:r w:rsidRPr="00715A34">
        <w:rPr>
          <w:color w:val="0070C0"/>
        </w:rPr>
        <w:t>fuel price</w:t>
      </w:r>
      <w:r>
        <w:rPr>
          <w:color w:val="0070C0"/>
        </w:rPr>
        <w:t xml:space="preserve"> projection</w:t>
      </w:r>
      <w:r w:rsidRPr="00715A34">
        <w:rPr>
          <w:color w:val="0070C0"/>
        </w:rPr>
        <w:t xml:space="preserve">s using the “April 2018 Updated Model in Microsoft Excel” workbook found here: </w:t>
      </w:r>
      <w:hyperlink r:id="rId13" w:history="1">
        <w:r w:rsidR="00AD73DD" w:rsidRPr="00B9271B">
          <w:rPr>
            <w:rStyle w:val="Hyperlink"/>
          </w:rPr>
          <w:t>http://www.energy.ca.gov/assessments/ng_burner_tip.html</w:t>
        </w:r>
      </w:hyperlink>
      <w:r>
        <w:rPr>
          <w:color w:val="0070C0"/>
        </w:rPr>
        <w:t xml:space="preserve">.  SERVM will also </w:t>
      </w:r>
      <w:r w:rsidR="00B60DCF">
        <w:rPr>
          <w:color w:val="0070C0"/>
        </w:rPr>
        <w:t>use</w:t>
      </w:r>
      <w:r>
        <w:rPr>
          <w:color w:val="0070C0"/>
        </w:rPr>
        <w:t xml:space="preserve"> the carbon allowance</w:t>
      </w:r>
      <w:r w:rsidRPr="00715A34">
        <w:rPr>
          <w:color w:val="0070C0"/>
        </w:rPr>
        <w:t xml:space="preserve"> price</w:t>
      </w:r>
      <w:r>
        <w:rPr>
          <w:color w:val="0070C0"/>
        </w:rPr>
        <w:t xml:space="preserve"> projections</w:t>
      </w:r>
      <w:r w:rsidR="00B60DCF">
        <w:rPr>
          <w:color w:val="0070C0"/>
        </w:rPr>
        <w:t xml:space="preserve"> in the</w:t>
      </w:r>
      <w:r w:rsidRPr="00715A34">
        <w:rPr>
          <w:color w:val="0070C0"/>
        </w:rPr>
        <w:t xml:space="preserve"> workbook</w:t>
      </w:r>
      <w:r w:rsidR="00B60DCF">
        <w:rPr>
          <w:color w:val="0070C0"/>
        </w:rPr>
        <w:t xml:space="preserve"> found here</w:t>
      </w:r>
      <w:r w:rsidRPr="00715A34">
        <w:rPr>
          <w:color w:val="0070C0"/>
        </w:rPr>
        <w:t xml:space="preserve">: </w:t>
      </w:r>
      <w:hyperlink r:id="rId14" w:history="1">
        <w:r w:rsidRPr="004828DE">
          <w:rPr>
            <w:rStyle w:val="Hyperlink"/>
          </w:rPr>
          <w:t>http://docketpublic.energy.ca.gov/PublicDocuments/17-IEPR-03/TN222145_20180116T123231_2017_IEPR_Revised_Carbon_Allowance_Price_Projections.xlsx</w:t>
        </w:r>
      </w:hyperlink>
      <w:r w:rsidR="00B60DCF">
        <w:rPr>
          <w:color w:val="0070C0"/>
        </w:rPr>
        <w:t xml:space="preserve">.  The RESOLVE model results presented at the </w:t>
      </w:r>
      <w:r w:rsidR="00875508">
        <w:rPr>
          <w:color w:val="0070C0"/>
        </w:rPr>
        <w:t>3/</w:t>
      </w:r>
      <w:r w:rsidR="00B60DCF">
        <w:rPr>
          <w:color w:val="0070C0"/>
        </w:rPr>
        <w:t xml:space="preserve">29 webinar did not include these updates.  </w:t>
      </w:r>
      <w:r w:rsidR="001953B8">
        <w:rPr>
          <w:color w:val="0070C0"/>
        </w:rPr>
        <w:lastRenderedPageBreak/>
        <w:t>Since then</w:t>
      </w:r>
      <w:r w:rsidR="00B60DCF">
        <w:rPr>
          <w:color w:val="0070C0"/>
        </w:rPr>
        <w:t xml:space="preserve">, staff has worked with E3 to incorporate the 2017 IEPR fuel and carbon price </w:t>
      </w:r>
      <w:r w:rsidR="008F782D">
        <w:rPr>
          <w:color w:val="0070C0"/>
        </w:rPr>
        <w:t>projections and rerun RESOLVE.</w:t>
      </w:r>
    </w:p>
    <w:p w14:paraId="2FBB6ED6" w14:textId="77777777" w:rsidR="008F782D" w:rsidRDefault="008F782D" w:rsidP="004F059A">
      <w:pPr>
        <w:pStyle w:val="ListParagraph"/>
        <w:rPr>
          <w:color w:val="0070C0"/>
        </w:rPr>
      </w:pPr>
    </w:p>
    <w:p w14:paraId="237A598D" w14:textId="253212D9" w:rsidR="00D6382C" w:rsidRDefault="00C01B64" w:rsidP="004F059A">
      <w:pPr>
        <w:pStyle w:val="ListParagraph"/>
        <w:rPr>
          <w:color w:val="0070C0"/>
        </w:rPr>
      </w:pPr>
      <w:hyperlink r:id="rId15" w:history="1">
        <w:r w:rsidR="008F782D" w:rsidRPr="00A00093">
          <w:rPr>
            <w:rStyle w:val="Hyperlink"/>
          </w:rPr>
          <w:t>Selected</w:t>
        </w:r>
        <w:r w:rsidR="00D6382C" w:rsidRPr="00A00093">
          <w:rPr>
            <w:rStyle w:val="Hyperlink"/>
          </w:rPr>
          <w:t xml:space="preserve"> presentation slides from the 3/29 MAG webinar </w:t>
        </w:r>
        <w:r w:rsidR="008F782D" w:rsidRPr="00A00093">
          <w:rPr>
            <w:rStyle w:val="Hyperlink"/>
          </w:rPr>
          <w:t>have been</w:t>
        </w:r>
        <w:r w:rsidR="00D6382C" w:rsidRPr="00A00093">
          <w:rPr>
            <w:rStyle w:val="Hyperlink"/>
          </w:rPr>
          <w:t xml:space="preserve"> updated</w:t>
        </w:r>
      </w:hyperlink>
      <w:r w:rsidR="00D6382C" w:rsidRPr="00D6382C">
        <w:rPr>
          <w:color w:val="0070C0"/>
        </w:rPr>
        <w:t xml:space="preserve"> </w:t>
      </w:r>
      <w:r w:rsidR="008F782D">
        <w:rPr>
          <w:color w:val="0070C0"/>
        </w:rPr>
        <w:t xml:space="preserve">to reflect the </w:t>
      </w:r>
      <w:r w:rsidR="00D6382C" w:rsidRPr="00D6382C">
        <w:rPr>
          <w:color w:val="0070C0"/>
        </w:rPr>
        <w:t xml:space="preserve">results from </w:t>
      </w:r>
      <w:r w:rsidR="008F782D">
        <w:rPr>
          <w:color w:val="0070C0"/>
        </w:rPr>
        <w:t xml:space="preserve">this rerun of </w:t>
      </w:r>
      <w:r w:rsidR="00D6382C" w:rsidRPr="00D6382C">
        <w:rPr>
          <w:color w:val="0070C0"/>
        </w:rPr>
        <w:t>RESOLVE</w:t>
      </w:r>
      <w:r w:rsidR="008F782D">
        <w:rPr>
          <w:color w:val="0070C0"/>
        </w:rPr>
        <w:t xml:space="preserve"> and</w:t>
      </w:r>
      <w:r w:rsidR="00D6382C" w:rsidRPr="00D6382C">
        <w:rPr>
          <w:color w:val="0070C0"/>
        </w:rPr>
        <w:t xml:space="preserve"> are posted to </w:t>
      </w:r>
      <w:hyperlink r:id="rId16" w:history="1">
        <w:r w:rsidR="00A00093" w:rsidRPr="00875508">
          <w:rPr>
            <w:rStyle w:val="Hyperlink"/>
          </w:rPr>
          <w:t>the MAG website</w:t>
        </w:r>
      </w:hyperlink>
      <w:r w:rsidR="00D6382C" w:rsidRPr="00D6382C">
        <w:rPr>
          <w:color w:val="0070C0"/>
        </w:rPr>
        <w:t xml:space="preserve">.  This RESOLVE </w:t>
      </w:r>
      <w:r w:rsidR="008F782D">
        <w:rPr>
          <w:color w:val="0070C0"/>
        </w:rPr>
        <w:t>re</w:t>
      </w:r>
      <w:r w:rsidR="00D6382C" w:rsidRPr="00D6382C">
        <w:rPr>
          <w:color w:val="0070C0"/>
        </w:rPr>
        <w:t xml:space="preserve">run includes updates to the fuel and carbon allowance prices, </w:t>
      </w:r>
      <w:r w:rsidR="006A3115">
        <w:rPr>
          <w:color w:val="0070C0"/>
        </w:rPr>
        <w:t>as well as updated</w:t>
      </w:r>
      <w:r w:rsidR="00D6382C" w:rsidRPr="00D6382C">
        <w:rPr>
          <w:color w:val="0070C0"/>
        </w:rPr>
        <w:t xml:space="preserve"> peak impact</w:t>
      </w:r>
      <w:r w:rsidR="00350AAD">
        <w:rPr>
          <w:color w:val="0070C0"/>
        </w:rPr>
        <w:t>s</w:t>
      </w:r>
      <w:r w:rsidR="00D6382C" w:rsidRPr="00D6382C">
        <w:rPr>
          <w:color w:val="0070C0"/>
        </w:rPr>
        <w:t xml:space="preserve"> from TOU rates</w:t>
      </w:r>
      <w:r w:rsidR="00350AAD">
        <w:rPr>
          <w:color w:val="0070C0"/>
        </w:rPr>
        <w:t xml:space="preserve"> (214 MW by 2030 as described below)</w:t>
      </w:r>
      <w:r w:rsidR="00D6382C" w:rsidRPr="00D6382C">
        <w:rPr>
          <w:color w:val="0070C0"/>
        </w:rPr>
        <w:t>, aligning wit</w:t>
      </w:r>
      <w:r w:rsidR="00350AAD">
        <w:rPr>
          <w:color w:val="0070C0"/>
        </w:rPr>
        <w:t xml:space="preserve">h current 2017 IEPR information.  </w:t>
      </w:r>
      <w:r w:rsidR="00D6382C" w:rsidRPr="00D6382C">
        <w:rPr>
          <w:color w:val="0070C0"/>
        </w:rPr>
        <w:t xml:space="preserve">This is the set of RESOLVE results that will be used in the calibration exercise with SERVM, as was described in Attachment B to the February 2018 IRP decision.  The </w:t>
      </w:r>
      <w:hyperlink r:id="rId17" w:history="1">
        <w:r w:rsidR="00D6382C" w:rsidRPr="00A00093">
          <w:rPr>
            <w:rStyle w:val="Hyperlink"/>
          </w:rPr>
          <w:t>full RESOLVE model and results with the 2017 IEPR</w:t>
        </w:r>
      </w:hyperlink>
      <w:r w:rsidR="00D6382C" w:rsidRPr="00D6382C">
        <w:rPr>
          <w:color w:val="0070C0"/>
        </w:rPr>
        <w:t xml:space="preserve"> is posted to </w:t>
      </w:r>
      <w:hyperlink r:id="rId18" w:history="1">
        <w:r w:rsidR="00D6382C" w:rsidRPr="00D6382C">
          <w:rPr>
            <w:rStyle w:val="Hyperlink"/>
          </w:rPr>
          <w:t>the MAG website</w:t>
        </w:r>
      </w:hyperlink>
      <w:r w:rsidR="00D6382C" w:rsidRPr="00D6382C">
        <w:rPr>
          <w:color w:val="0070C0"/>
        </w:rPr>
        <w:t xml:space="preserve"> under Webinar 7 – 3/29/18.</w:t>
      </w:r>
    </w:p>
    <w:p w14:paraId="20E5EB88" w14:textId="77777777" w:rsidR="00715A34" w:rsidRPr="004F059A" w:rsidRDefault="00715A34" w:rsidP="004F059A">
      <w:pPr>
        <w:pStyle w:val="ListParagraph"/>
        <w:rPr>
          <w:color w:val="0070C0"/>
        </w:rPr>
      </w:pPr>
    </w:p>
    <w:p w14:paraId="2F89724F" w14:textId="1FE6C80C" w:rsidR="004F059A" w:rsidRDefault="00891C19" w:rsidP="004F059A">
      <w:pPr>
        <w:pStyle w:val="ListParagraph"/>
        <w:numPr>
          <w:ilvl w:val="0"/>
          <w:numId w:val="1"/>
        </w:numPr>
      </w:pPr>
      <w:r>
        <w:t>Why did the</w:t>
      </w:r>
      <w:r w:rsidR="00417C6C">
        <w:t xml:space="preserve"> peak hour</w:t>
      </w:r>
      <w:r>
        <w:t xml:space="preserve"> impact of TOU rates in the RESOLVE model go down when using the 2017 IEPR</w:t>
      </w:r>
      <w:r w:rsidR="00F85B02">
        <w:t xml:space="preserve">? </w:t>
      </w:r>
    </w:p>
    <w:p w14:paraId="46F3197D" w14:textId="37885A9A" w:rsidR="00F85B02" w:rsidRDefault="00C9234D" w:rsidP="004F059A">
      <w:pPr>
        <w:pStyle w:val="ListParagraph"/>
        <w:rPr>
          <w:color w:val="0070C0"/>
        </w:rPr>
      </w:pPr>
      <w:r>
        <w:rPr>
          <w:color w:val="0070C0"/>
        </w:rPr>
        <w:t>RESOLVE models TOU rate impacts in two parts of the model, the hourly operational part and the Planning Reserve Margin (PRM) constraint part</w:t>
      </w:r>
      <w:r w:rsidR="00F85B02" w:rsidRPr="004F059A">
        <w:rPr>
          <w:color w:val="0070C0"/>
        </w:rPr>
        <w:t>.</w:t>
      </w:r>
      <w:r>
        <w:rPr>
          <w:color w:val="0070C0"/>
        </w:rPr>
        <w:t xml:space="preserve">  In the operational part, TOU annual shapes representing change in load are layered onto the baseline load shapes.  TOU shape positive values indicate the hourly load increases relative to baseline load and negative values indicate the hourly load decreases relative to baseline load.  This net load shape is then used to balance hourly demand and supply for the 37 representative days in RESOLVE.</w:t>
      </w:r>
    </w:p>
    <w:p w14:paraId="7725B39D" w14:textId="77777777" w:rsidR="00875508" w:rsidRDefault="00875508" w:rsidP="004F059A">
      <w:pPr>
        <w:pStyle w:val="ListParagraph"/>
        <w:rPr>
          <w:color w:val="0070C0"/>
        </w:rPr>
      </w:pPr>
    </w:p>
    <w:p w14:paraId="7C687AC1" w14:textId="2ACFD245" w:rsidR="00442486" w:rsidRDefault="002A7886" w:rsidP="004F059A">
      <w:pPr>
        <w:pStyle w:val="ListParagraph"/>
        <w:rPr>
          <w:color w:val="0070C0"/>
        </w:rPr>
      </w:pPr>
      <w:r>
        <w:rPr>
          <w:color w:val="0070C0"/>
        </w:rPr>
        <w:t>In the PRM constraint part of RESOLVE, the projected annual peak demand is compared to effective supply and RESOLVE reports the actual reserve margin.  The model solution is constrained to ensure the 15% PRM</w:t>
      </w:r>
      <w:r w:rsidR="001A69FF">
        <w:rPr>
          <w:color w:val="0070C0"/>
        </w:rPr>
        <w:t xml:space="preserve"> requirement</w:t>
      </w:r>
      <w:r>
        <w:rPr>
          <w:color w:val="0070C0"/>
        </w:rPr>
        <w:t xml:space="preserve"> is met.  As long as this constraint is not binding, it has no impact on resource build in RESOLVE.  Projected annual peak reduction from TOU rates is part of RESOLVE’s reserve margin calculation.</w:t>
      </w:r>
    </w:p>
    <w:p w14:paraId="4F3A2D88" w14:textId="77777777" w:rsidR="00875508" w:rsidRDefault="00875508" w:rsidP="004F059A">
      <w:pPr>
        <w:pStyle w:val="ListParagraph"/>
        <w:rPr>
          <w:color w:val="0070C0"/>
        </w:rPr>
      </w:pPr>
    </w:p>
    <w:p w14:paraId="33C27AB6" w14:textId="3281C14B" w:rsidR="00DE276A" w:rsidRDefault="003F4099" w:rsidP="004F059A">
      <w:pPr>
        <w:pStyle w:val="ListParagraph"/>
        <w:rPr>
          <w:color w:val="0070C0"/>
        </w:rPr>
      </w:pPr>
      <w:r>
        <w:rPr>
          <w:color w:val="0070C0"/>
        </w:rPr>
        <w:t xml:space="preserve">In the </w:t>
      </w:r>
      <w:r w:rsidR="00425420">
        <w:rPr>
          <w:color w:val="0070C0"/>
        </w:rPr>
        <w:t xml:space="preserve">version of </w:t>
      </w:r>
      <w:r>
        <w:rPr>
          <w:color w:val="0070C0"/>
        </w:rPr>
        <w:t>RESOLVE used to develop the Reference System Plan, the annual peak reduction from TOU was about 1000 MW</w:t>
      </w:r>
      <w:r w:rsidR="00D52A35">
        <w:rPr>
          <w:color w:val="0070C0"/>
        </w:rPr>
        <w:t xml:space="preserve"> by 2030</w:t>
      </w:r>
      <w:r>
        <w:rPr>
          <w:color w:val="0070C0"/>
        </w:rPr>
        <w:t xml:space="preserve">, based on </w:t>
      </w:r>
      <w:r w:rsidR="00442486">
        <w:rPr>
          <w:color w:val="0070C0"/>
        </w:rPr>
        <w:t xml:space="preserve">an MRW study as described on slide 12 of the 3/29 MAG webinar.  </w:t>
      </w:r>
      <w:r w:rsidR="00891C19">
        <w:rPr>
          <w:color w:val="0070C0"/>
        </w:rPr>
        <w:t>In the</w:t>
      </w:r>
      <w:r w:rsidR="003F0E4C">
        <w:rPr>
          <w:color w:val="0070C0"/>
        </w:rPr>
        <w:t xml:space="preserve"> version of</w:t>
      </w:r>
      <w:r w:rsidR="00891C19">
        <w:rPr>
          <w:color w:val="0070C0"/>
        </w:rPr>
        <w:t xml:space="preserve"> RESOLVE using the</w:t>
      </w:r>
      <w:r w:rsidR="00442486">
        <w:rPr>
          <w:color w:val="0070C0"/>
        </w:rPr>
        <w:t xml:space="preserve"> 2017 IEPR mid TOU case, </w:t>
      </w:r>
      <w:r w:rsidR="0072112D">
        <w:rPr>
          <w:color w:val="0070C0"/>
        </w:rPr>
        <w:t xml:space="preserve">CPUC staff </w:t>
      </w:r>
      <w:r w:rsidR="00DE276A">
        <w:rPr>
          <w:color w:val="0070C0"/>
        </w:rPr>
        <w:t>approximated</w:t>
      </w:r>
      <w:r w:rsidR="0072112D">
        <w:rPr>
          <w:color w:val="0070C0"/>
        </w:rPr>
        <w:t xml:space="preserve"> </w:t>
      </w:r>
      <w:r w:rsidR="00442486">
        <w:rPr>
          <w:color w:val="0070C0"/>
        </w:rPr>
        <w:t xml:space="preserve">the load reduction from TOU </w:t>
      </w:r>
      <w:r w:rsidR="00DE276A">
        <w:rPr>
          <w:color w:val="0070C0"/>
        </w:rPr>
        <w:t xml:space="preserve">as </w:t>
      </w:r>
      <w:r w:rsidR="00442486">
        <w:rPr>
          <w:color w:val="0070C0"/>
        </w:rPr>
        <w:t>about 170 MW</w:t>
      </w:r>
      <w:r w:rsidR="00D52A35">
        <w:rPr>
          <w:color w:val="0070C0"/>
        </w:rPr>
        <w:t xml:space="preserve"> by 2030,</w:t>
      </w:r>
      <w:r w:rsidR="00442486">
        <w:rPr>
          <w:color w:val="0070C0"/>
        </w:rPr>
        <w:t xml:space="preserve"> </w:t>
      </w:r>
      <w:r w:rsidR="00D52A35">
        <w:rPr>
          <w:color w:val="0070C0"/>
        </w:rPr>
        <w:t xml:space="preserve">measured </w:t>
      </w:r>
      <w:r w:rsidR="00442486">
        <w:rPr>
          <w:color w:val="0070C0"/>
        </w:rPr>
        <w:t xml:space="preserve">at the CAISO area coincident managed peak.  </w:t>
      </w:r>
      <w:r w:rsidR="0072112D">
        <w:rPr>
          <w:color w:val="0070C0"/>
        </w:rPr>
        <w:t>Since</w:t>
      </w:r>
      <w:r w:rsidR="00A165F9">
        <w:rPr>
          <w:color w:val="0070C0"/>
        </w:rPr>
        <w:t xml:space="preserve"> then, CEC staff has provided an updated </w:t>
      </w:r>
      <w:r w:rsidR="0072112D">
        <w:rPr>
          <w:color w:val="0070C0"/>
        </w:rPr>
        <w:t>calculation of peak reduction</w:t>
      </w:r>
      <w:r w:rsidR="00DE276A">
        <w:rPr>
          <w:color w:val="0070C0"/>
        </w:rPr>
        <w:t xml:space="preserve"> from the IEPR hourly data as 214 MW by 2030.  </w:t>
      </w:r>
      <w:r w:rsidR="00442486">
        <w:rPr>
          <w:color w:val="0070C0"/>
        </w:rPr>
        <w:t xml:space="preserve">The difference </w:t>
      </w:r>
      <w:r w:rsidR="00DE276A">
        <w:rPr>
          <w:color w:val="0070C0"/>
        </w:rPr>
        <w:t xml:space="preserve">between the TOU peak impact used with the Reference System Plan and the impact based on the 2017 IEPR mid TOU case </w:t>
      </w:r>
      <w:r w:rsidR="00442486">
        <w:rPr>
          <w:color w:val="0070C0"/>
        </w:rPr>
        <w:t xml:space="preserve">is attributed to </w:t>
      </w:r>
      <w:r w:rsidR="00DE276A">
        <w:rPr>
          <w:color w:val="0070C0"/>
        </w:rPr>
        <w:t>multiple</w:t>
      </w:r>
      <w:r w:rsidR="00442486">
        <w:rPr>
          <w:color w:val="0070C0"/>
        </w:rPr>
        <w:t xml:space="preserve"> factors</w:t>
      </w:r>
      <w:r w:rsidR="00DE276A">
        <w:rPr>
          <w:color w:val="0070C0"/>
        </w:rPr>
        <w:t>:</w:t>
      </w:r>
    </w:p>
    <w:p w14:paraId="7CCB8B3C" w14:textId="58C02B01" w:rsidR="003737BC" w:rsidRDefault="003737BC" w:rsidP="001A69FF">
      <w:pPr>
        <w:pStyle w:val="ListParagraph"/>
        <w:numPr>
          <w:ilvl w:val="0"/>
          <w:numId w:val="2"/>
        </w:numPr>
        <w:rPr>
          <w:color w:val="0070C0"/>
        </w:rPr>
      </w:pPr>
      <w:r>
        <w:rPr>
          <w:color w:val="0070C0"/>
        </w:rPr>
        <w:t xml:space="preserve">The TOU peak impact used with the Reference System Plan used an “aggressive” assumption based on </w:t>
      </w:r>
      <w:r w:rsidR="00B90D4A">
        <w:rPr>
          <w:color w:val="0070C0"/>
        </w:rPr>
        <w:t xml:space="preserve">the 2015 </w:t>
      </w:r>
      <w:r>
        <w:rPr>
          <w:color w:val="0070C0"/>
        </w:rPr>
        <w:t>MRW stu</w:t>
      </w:r>
      <w:r w:rsidR="00B90D4A">
        <w:rPr>
          <w:color w:val="0070C0"/>
        </w:rPr>
        <w:t>dy scenario 4 multiplied by 1.5</w:t>
      </w:r>
    </w:p>
    <w:p w14:paraId="50327E58" w14:textId="639F18AB" w:rsidR="00B90D4A" w:rsidRDefault="003737BC" w:rsidP="001A69FF">
      <w:pPr>
        <w:pStyle w:val="ListParagraph"/>
        <w:numPr>
          <w:ilvl w:val="0"/>
          <w:numId w:val="2"/>
        </w:numPr>
        <w:rPr>
          <w:color w:val="0070C0"/>
        </w:rPr>
      </w:pPr>
      <w:r>
        <w:rPr>
          <w:color w:val="0070C0"/>
        </w:rPr>
        <w:t xml:space="preserve">The 2017 IEPR considered recent CPUC decisions on TOU implementation, lower impacts from defaulted customers, and </w:t>
      </w:r>
      <w:r w:rsidR="00B90D4A">
        <w:rPr>
          <w:color w:val="0070C0"/>
        </w:rPr>
        <w:t xml:space="preserve">other </w:t>
      </w:r>
      <w:r w:rsidR="00442486">
        <w:rPr>
          <w:color w:val="0070C0"/>
        </w:rPr>
        <w:t xml:space="preserve">differences in input assumptions </w:t>
      </w:r>
    </w:p>
    <w:p w14:paraId="76FC25A7" w14:textId="32563CA5" w:rsidR="0027505E" w:rsidRDefault="00B90D4A" w:rsidP="001A69FF">
      <w:pPr>
        <w:pStyle w:val="ListParagraph"/>
        <w:numPr>
          <w:ilvl w:val="0"/>
          <w:numId w:val="2"/>
        </w:numPr>
        <w:spacing w:after="0"/>
        <w:rPr>
          <w:color w:val="0070C0"/>
        </w:rPr>
      </w:pPr>
      <w:r>
        <w:rPr>
          <w:color w:val="0070C0"/>
        </w:rPr>
        <w:t>M</w:t>
      </w:r>
      <w:r w:rsidR="0071768C">
        <w:rPr>
          <w:color w:val="0070C0"/>
        </w:rPr>
        <w:t xml:space="preserve">isalignment between </w:t>
      </w:r>
      <w:r w:rsidR="00D52A35">
        <w:rPr>
          <w:color w:val="0070C0"/>
        </w:rPr>
        <w:t xml:space="preserve">IEPR </w:t>
      </w:r>
      <w:r w:rsidR="0071768C">
        <w:rPr>
          <w:color w:val="0070C0"/>
        </w:rPr>
        <w:t xml:space="preserve">hourly TOU shapes and </w:t>
      </w:r>
      <w:r w:rsidR="00D52A35">
        <w:rPr>
          <w:color w:val="0070C0"/>
        </w:rPr>
        <w:t xml:space="preserve">IEPR </w:t>
      </w:r>
      <w:r w:rsidR="0071768C">
        <w:rPr>
          <w:color w:val="0070C0"/>
        </w:rPr>
        <w:t xml:space="preserve">baseline load shapes that resulted in lower than expected TOU impacts in </w:t>
      </w:r>
      <w:r w:rsidR="00416F1C">
        <w:rPr>
          <w:color w:val="0070C0"/>
        </w:rPr>
        <w:t xml:space="preserve">the highest </w:t>
      </w:r>
      <w:r w:rsidR="0071768C">
        <w:rPr>
          <w:color w:val="0070C0"/>
        </w:rPr>
        <w:t xml:space="preserve">peak hours  </w:t>
      </w:r>
    </w:p>
    <w:p w14:paraId="05F19825" w14:textId="3161657A" w:rsidR="002A7886" w:rsidRPr="001A69FF" w:rsidRDefault="00FE151B" w:rsidP="001A69FF">
      <w:pPr>
        <w:spacing w:after="0"/>
        <w:ind w:left="720"/>
        <w:rPr>
          <w:color w:val="0070C0"/>
        </w:rPr>
      </w:pPr>
      <w:r>
        <w:rPr>
          <w:color w:val="0070C0"/>
        </w:rPr>
        <w:t>T</w:t>
      </w:r>
      <w:r w:rsidR="0071768C" w:rsidRPr="001A69FF">
        <w:rPr>
          <w:color w:val="0070C0"/>
        </w:rPr>
        <w:t>he CEC’s 2018 IEPR Update process</w:t>
      </w:r>
      <w:r>
        <w:rPr>
          <w:color w:val="0070C0"/>
        </w:rPr>
        <w:t xml:space="preserve"> will incorporate information from the most recent TOU pilot studies and correct the misalignment in hourly shapes</w:t>
      </w:r>
      <w:r w:rsidR="0071768C" w:rsidRPr="001A69FF">
        <w:rPr>
          <w:color w:val="0070C0"/>
        </w:rPr>
        <w:t>.</w:t>
      </w:r>
    </w:p>
    <w:p w14:paraId="20667FD6" w14:textId="77777777" w:rsidR="00875508" w:rsidRDefault="00875508" w:rsidP="004F059A">
      <w:pPr>
        <w:pStyle w:val="ListParagraph"/>
        <w:rPr>
          <w:color w:val="0070C0"/>
        </w:rPr>
      </w:pPr>
    </w:p>
    <w:p w14:paraId="1742F7A8" w14:textId="48BB8023" w:rsidR="0071768C" w:rsidRDefault="00FE151B" w:rsidP="004F059A">
      <w:pPr>
        <w:pStyle w:val="ListParagraph"/>
        <w:rPr>
          <w:color w:val="0070C0"/>
        </w:rPr>
      </w:pPr>
      <w:r>
        <w:rPr>
          <w:color w:val="0070C0"/>
        </w:rPr>
        <w:t>To maintain consistency with the 2017 IEPR mid TOU case, RESOLVE has been rerun using the peak reduction data provide</w:t>
      </w:r>
      <w:r w:rsidR="000F2CCE">
        <w:rPr>
          <w:color w:val="0070C0"/>
        </w:rPr>
        <w:t>d</w:t>
      </w:r>
      <w:r>
        <w:rPr>
          <w:color w:val="0070C0"/>
        </w:rPr>
        <w:t xml:space="preserve"> by CEC staff, i.e. 214 MW by 2030 at the CAISO area coincident managed peak.</w:t>
      </w:r>
      <w:r w:rsidR="00875508">
        <w:rPr>
          <w:color w:val="0070C0"/>
        </w:rPr>
        <w:t xml:space="preserve">  Since the PRM constraint is not binding in </w:t>
      </w:r>
      <w:r w:rsidR="00352A62">
        <w:rPr>
          <w:color w:val="0070C0"/>
        </w:rPr>
        <w:t xml:space="preserve">the results </w:t>
      </w:r>
      <w:r w:rsidR="003F0E4C">
        <w:rPr>
          <w:color w:val="0070C0"/>
        </w:rPr>
        <w:t>from</w:t>
      </w:r>
      <w:r w:rsidR="00352A62">
        <w:rPr>
          <w:color w:val="0070C0"/>
        </w:rPr>
        <w:t xml:space="preserve"> the</w:t>
      </w:r>
      <w:r w:rsidR="003F0E4C">
        <w:rPr>
          <w:color w:val="0070C0"/>
        </w:rPr>
        <w:t xml:space="preserve"> version of</w:t>
      </w:r>
      <w:r w:rsidR="006B4837">
        <w:rPr>
          <w:color w:val="0070C0"/>
        </w:rPr>
        <w:t xml:space="preserve"> </w:t>
      </w:r>
      <w:r w:rsidR="00875508">
        <w:rPr>
          <w:color w:val="0070C0"/>
        </w:rPr>
        <w:t>RESOLVE</w:t>
      </w:r>
      <w:r w:rsidR="00C66E76">
        <w:rPr>
          <w:color w:val="0070C0"/>
        </w:rPr>
        <w:t xml:space="preserve"> </w:t>
      </w:r>
      <w:r w:rsidR="00352A62">
        <w:rPr>
          <w:color w:val="0070C0"/>
        </w:rPr>
        <w:t>using the 2017 IEPR</w:t>
      </w:r>
      <w:r w:rsidR="00875508">
        <w:rPr>
          <w:color w:val="0070C0"/>
        </w:rPr>
        <w:t>, this change has no effect other than increasing the reported reserve margin by a small amount</w:t>
      </w:r>
      <w:r w:rsidR="00350AAD">
        <w:rPr>
          <w:color w:val="0070C0"/>
        </w:rPr>
        <w:t xml:space="preserve"> (relative to the results that were presented on 3/29)</w:t>
      </w:r>
      <w:r w:rsidR="00875508">
        <w:rPr>
          <w:color w:val="0070C0"/>
        </w:rPr>
        <w:t>.</w:t>
      </w:r>
    </w:p>
    <w:p w14:paraId="7F23A35F" w14:textId="77777777" w:rsidR="00875508" w:rsidRPr="004F059A" w:rsidRDefault="00875508" w:rsidP="004F059A">
      <w:pPr>
        <w:pStyle w:val="ListParagraph"/>
        <w:rPr>
          <w:color w:val="0070C0"/>
        </w:rPr>
      </w:pPr>
    </w:p>
    <w:p w14:paraId="69AD3CE6" w14:textId="77777777" w:rsidR="00F85B02" w:rsidRDefault="004F661D" w:rsidP="00DE7F84">
      <w:pPr>
        <w:pStyle w:val="ListParagraph"/>
        <w:numPr>
          <w:ilvl w:val="0"/>
          <w:numId w:val="1"/>
        </w:numPr>
      </w:pPr>
      <w:r>
        <w:t>Why does the maximum output from the BTM PV shapes in the IEPR (about 16,600 MW in 2030) fall short of the assumed installed capacity (about 20,000 MW in 2030) modeled in RESOLVE</w:t>
      </w:r>
      <w:r w:rsidR="00017110">
        <w:t>?</w:t>
      </w:r>
    </w:p>
    <w:p w14:paraId="3606421C" w14:textId="15DD8328" w:rsidR="00D7331C" w:rsidRDefault="009B0BD5" w:rsidP="00DE7F84">
      <w:pPr>
        <w:pStyle w:val="ListParagraph"/>
        <w:rPr>
          <w:color w:val="0070C0"/>
        </w:rPr>
      </w:pPr>
      <w:r>
        <w:rPr>
          <w:color w:val="0070C0"/>
        </w:rPr>
        <w:t xml:space="preserve">See the workbook </w:t>
      </w:r>
      <w:hyperlink r:id="rId19" w:tooltip="2017 IEPR BTMPV and AAPV installed capacity and hourly (4/23/18)" w:history="1">
        <w:r w:rsidR="00C34A10" w:rsidRPr="00C34A10">
          <w:rPr>
            <w:rStyle w:val="Hyperlink"/>
            <w:lang w:val="en"/>
          </w:rPr>
          <w:t>2017 IEPR BTMPV and AAPV installed capacity and hourly</w:t>
        </w:r>
      </w:hyperlink>
      <w:r w:rsidR="00C34A10">
        <w:rPr>
          <w:color w:val="0070C0"/>
        </w:rPr>
        <w:t xml:space="preserve"> </w:t>
      </w:r>
      <w:r w:rsidR="00334238">
        <w:rPr>
          <w:color w:val="0070C0"/>
        </w:rPr>
        <w:t xml:space="preserve">data </w:t>
      </w:r>
      <w:r w:rsidR="00C34A10">
        <w:rPr>
          <w:color w:val="0070C0"/>
        </w:rPr>
        <w:t>p</w:t>
      </w:r>
      <w:r>
        <w:rPr>
          <w:color w:val="0070C0"/>
        </w:rPr>
        <w:t xml:space="preserve">osted to </w:t>
      </w:r>
      <w:hyperlink r:id="rId20" w:history="1">
        <w:r w:rsidR="00C34A10" w:rsidRPr="00875508">
          <w:rPr>
            <w:rStyle w:val="Hyperlink"/>
          </w:rPr>
          <w:t>the MAG website</w:t>
        </w:r>
      </w:hyperlink>
      <w:r>
        <w:rPr>
          <w:color w:val="0070C0"/>
        </w:rPr>
        <w:t xml:space="preserve"> that illustrates IEPR raw source data including hourly BTM PV shapes, compared to aggregate BTM PV assumptions used in the RESOLVE UI</w:t>
      </w:r>
      <w:r w:rsidR="00F85B02" w:rsidRPr="00A3768E">
        <w:rPr>
          <w:color w:val="0070C0"/>
        </w:rPr>
        <w:t xml:space="preserve">.  </w:t>
      </w:r>
      <w:r w:rsidR="00394213">
        <w:rPr>
          <w:color w:val="0070C0"/>
        </w:rPr>
        <w:t xml:space="preserve">The annual energy values in RESOLVE and the IEPR match.  </w:t>
      </w:r>
      <w:r w:rsidR="004A7EB6">
        <w:rPr>
          <w:color w:val="0070C0"/>
        </w:rPr>
        <w:t xml:space="preserve">The workbook </w:t>
      </w:r>
      <w:r w:rsidR="00394213">
        <w:rPr>
          <w:color w:val="0070C0"/>
        </w:rPr>
        <w:t>uses</w:t>
      </w:r>
      <w:r w:rsidR="004A7EB6">
        <w:rPr>
          <w:color w:val="0070C0"/>
        </w:rPr>
        <w:t xml:space="preserve"> the</w:t>
      </w:r>
      <w:r>
        <w:rPr>
          <w:color w:val="0070C0"/>
        </w:rPr>
        <w:t xml:space="preserve"> IEPR </w:t>
      </w:r>
      <w:r w:rsidR="004A7EB6">
        <w:rPr>
          <w:color w:val="0070C0"/>
        </w:rPr>
        <w:t>raw source data</w:t>
      </w:r>
      <w:r w:rsidR="008817C2">
        <w:rPr>
          <w:color w:val="0070C0"/>
        </w:rPr>
        <w:t xml:space="preserve"> (hourly production and installed capacity)</w:t>
      </w:r>
      <w:r w:rsidR="00394213">
        <w:rPr>
          <w:color w:val="0070C0"/>
        </w:rPr>
        <w:t xml:space="preserve"> to calculate t</w:t>
      </w:r>
      <w:r w:rsidR="004A7EB6">
        <w:rPr>
          <w:color w:val="0070C0"/>
        </w:rPr>
        <w:t>he</w:t>
      </w:r>
      <w:r>
        <w:rPr>
          <w:color w:val="0070C0"/>
        </w:rPr>
        <w:t xml:space="preserve"> ratio of “max MW output of aggregate CAISO</w:t>
      </w:r>
      <w:r w:rsidR="00F10173">
        <w:rPr>
          <w:color w:val="0070C0"/>
        </w:rPr>
        <w:t xml:space="preserve"> area</w:t>
      </w:r>
      <w:r>
        <w:rPr>
          <w:color w:val="0070C0"/>
        </w:rPr>
        <w:t xml:space="preserve"> </w:t>
      </w:r>
      <w:r w:rsidR="00394213">
        <w:rPr>
          <w:color w:val="0070C0"/>
        </w:rPr>
        <w:t>BTM PV</w:t>
      </w:r>
      <w:r>
        <w:rPr>
          <w:color w:val="0070C0"/>
        </w:rPr>
        <w:t xml:space="preserve"> shape” to “CAISO area </w:t>
      </w:r>
      <w:r w:rsidR="00F10173">
        <w:rPr>
          <w:color w:val="0070C0"/>
        </w:rPr>
        <w:t>BTM PV</w:t>
      </w:r>
      <w:r>
        <w:rPr>
          <w:color w:val="0070C0"/>
        </w:rPr>
        <w:t xml:space="preserve"> installed capacity”</w:t>
      </w:r>
      <w:r w:rsidR="00F10173">
        <w:rPr>
          <w:color w:val="0070C0"/>
        </w:rPr>
        <w:t xml:space="preserve"> as about 0.86.  The maximum value of the normalized BTM PV shapes used in the RESOLVE model</w:t>
      </w:r>
      <w:r w:rsidR="00232203">
        <w:rPr>
          <w:color w:val="0070C0"/>
        </w:rPr>
        <w:t xml:space="preserve"> is comparable, </w:t>
      </w:r>
      <w:r w:rsidR="00F10173">
        <w:rPr>
          <w:color w:val="0070C0"/>
        </w:rPr>
        <w:t>about 0.85</w:t>
      </w:r>
      <w:r w:rsidR="007E476F">
        <w:rPr>
          <w:color w:val="0070C0"/>
        </w:rPr>
        <w:t xml:space="preserve"> (by inspection of the max value of the normalized shapes in the RESOLVE UI)</w:t>
      </w:r>
      <w:r w:rsidR="00F10173">
        <w:rPr>
          <w:color w:val="0070C0"/>
        </w:rPr>
        <w:t>.</w:t>
      </w:r>
      <w:r w:rsidR="00232203">
        <w:rPr>
          <w:color w:val="0070C0"/>
        </w:rPr>
        <w:t xml:space="preserve">  The fact that the maximum output of BTM PV in aggregate is somewhat less than the assumed installed capacity reflects the</w:t>
      </w:r>
      <w:r w:rsidR="00232203" w:rsidRPr="00232203">
        <w:rPr>
          <w:color w:val="0070C0"/>
        </w:rPr>
        <w:t xml:space="preserve"> non-coincidence of the maximum solar generation between the 3 TAC areas and within each TAC area when aggregating up from more geographically granular solar shapes.</w:t>
      </w:r>
    </w:p>
    <w:p w14:paraId="7CC7BCB2" w14:textId="4E2FCB2A" w:rsidR="006B4837" w:rsidRDefault="006B4837" w:rsidP="00DE7F84">
      <w:pPr>
        <w:pStyle w:val="ListParagraph"/>
        <w:rPr>
          <w:color w:val="0070C0"/>
        </w:rPr>
      </w:pPr>
    </w:p>
    <w:p w14:paraId="4D647561" w14:textId="19C9E228" w:rsidR="00D6382C" w:rsidRDefault="00D6382C" w:rsidP="00D6382C"/>
    <w:sectPr w:rsidR="00D6382C" w:rsidSect="00D6382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76E09A" w15:done="0"/>
  <w15:commentEx w15:paraId="719339ED" w15:done="0"/>
  <w15:commentEx w15:paraId="4A7C0D82" w15:done="0"/>
  <w15:commentEx w15:paraId="38222BF7" w15:done="0"/>
  <w15:commentEx w15:paraId="7535F262" w15:done="0"/>
  <w15:commentEx w15:paraId="4A4F7233" w15:done="0"/>
  <w15:commentEx w15:paraId="11FD67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76E09A" w16cid:durableId="1E76F7AE"/>
  <w16cid:commentId w16cid:paraId="719339ED" w16cid:durableId="1E76F7AF"/>
  <w16cid:commentId w16cid:paraId="4A7C0D82" w16cid:durableId="1E76F856"/>
  <w16cid:commentId w16cid:paraId="38222BF7" w16cid:durableId="1E76F7B0"/>
  <w16cid:commentId w16cid:paraId="7535F262" w16cid:durableId="1E77316A"/>
  <w16cid:commentId w16cid:paraId="4A4F7233" w16cid:durableId="1E7733AD"/>
  <w16cid:commentId w16cid:paraId="11FD67BE" w16cid:durableId="1E76F7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C2790" w14:textId="77777777" w:rsidR="006C0183" w:rsidRDefault="006C0183" w:rsidP="006C0183">
      <w:pPr>
        <w:spacing w:after="0" w:line="240" w:lineRule="auto"/>
      </w:pPr>
      <w:r>
        <w:separator/>
      </w:r>
    </w:p>
  </w:endnote>
  <w:endnote w:type="continuationSeparator" w:id="0">
    <w:p w14:paraId="2771C073" w14:textId="77777777" w:rsidR="006C0183" w:rsidRDefault="006C0183" w:rsidP="006C0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E7B72" w14:textId="77777777" w:rsidR="002B1CDB" w:rsidRDefault="002B1C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8F4DF" w14:textId="77777777" w:rsidR="006C0183" w:rsidRDefault="006C0183">
    <w:pPr>
      <w:pStyle w:val="Footer"/>
    </w:pPr>
    <w:r>
      <w:fldChar w:fldCharType="begin"/>
    </w:r>
    <w:r>
      <w:instrText xml:space="preserve"> PAGE   \* MERGEFORMAT </w:instrText>
    </w:r>
    <w:r>
      <w:fldChar w:fldCharType="separate"/>
    </w:r>
    <w:r w:rsidR="00C01B64">
      <w:rPr>
        <w:noProof/>
      </w:rPr>
      <w:t>1</w:t>
    </w:r>
    <w:r>
      <w:fldChar w:fldCharType="end"/>
    </w:r>
    <w:r>
      <w:t>/</w:t>
    </w:r>
    <w:fldSimple w:instr=" NUMPAGES   \* MERGEFORMAT ">
      <w:r w:rsidR="00C01B64">
        <w:rPr>
          <w:noProof/>
        </w:rPr>
        <w:t>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34F6A" w14:textId="77777777" w:rsidR="002B1CDB" w:rsidRDefault="002B1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A27E7" w14:textId="77777777" w:rsidR="006C0183" w:rsidRDefault="006C0183" w:rsidP="006C0183">
      <w:pPr>
        <w:spacing w:after="0" w:line="240" w:lineRule="auto"/>
      </w:pPr>
      <w:r>
        <w:separator/>
      </w:r>
    </w:p>
  </w:footnote>
  <w:footnote w:type="continuationSeparator" w:id="0">
    <w:p w14:paraId="25FBDF50" w14:textId="77777777" w:rsidR="006C0183" w:rsidRDefault="006C0183" w:rsidP="006C01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7AA89" w14:textId="77777777" w:rsidR="002B1CDB" w:rsidRDefault="002B1C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1CD1F" w14:textId="570BF61B" w:rsidR="00F141FB" w:rsidRDefault="000C3A23" w:rsidP="00121628">
    <w:pPr>
      <w:pStyle w:val="Header"/>
      <w:jc w:val="right"/>
    </w:pPr>
    <w:fldSimple w:instr=" DATE   \* MERGEFORMAT ">
      <w:r w:rsidR="00C01B64">
        <w:rPr>
          <w:noProof/>
        </w:rPr>
        <w:t>4/24/2018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5F155" w14:textId="77777777" w:rsidR="002B1CDB" w:rsidRDefault="002B1C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231A3"/>
    <w:multiLevelType w:val="hybridMultilevel"/>
    <w:tmpl w:val="04408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9F0080"/>
    <w:multiLevelType w:val="hybridMultilevel"/>
    <w:tmpl w:val="743E13FC"/>
    <w:lvl w:ilvl="0" w:tplc="A1942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79E"/>
    <w:rsid w:val="00017110"/>
    <w:rsid w:val="00032911"/>
    <w:rsid w:val="00040910"/>
    <w:rsid w:val="0006163F"/>
    <w:rsid w:val="00084BD0"/>
    <w:rsid w:val="000A6B3C"/>
    <w:rsid w:val="000C3A23"/>
    <w:rsid w:val="000F2CCE"/>
    <w:rsid w:val="00121628"/>
    <w:rsid w:val="00122D19"/>
    <w:rsid w:val="001765CD"/>
    <w:rsid w:val="00186983"/>
    <w:rsid w:val="001953B8"/>
    <w:rsid w:val="001A69FF"/>
    <w:rsid w:val="001B1383"/>
    <w:rsid w:val="001E2A39"/>
    <w:rsid w:val="00232203"/>
    <w:rsid w:val="0024414A"/>
    <w:rsid w:val="002645EC"/>
    <w:rsid w:val="002717FE"/>
    <w:rsid w:val="0027505E"/>
    <w:rsid w:val="002A7886"/>
    <w:rsid w:val="002B1CDB"/>
    <w:rsid w:val="00334238"/>
    <w:rsid w:val="00350AAD"/>
    <w:rsid w:val="00352A62"/>
    <w:rsid w:val="0035648E"/>
    <w:rsid w:val="003737BC"/>
    <w:rsid w:val="00394213"/>
    <w:rsid w:val="003E7703"/>
    <w:rsid w:val="003F0E4C"/>
    <w:rsid w:val="003F4099"/>
    <w:rsid w:val="00416F1C"/>
    <w:rsid w:val="00417C6C"/>
    <w:rsid w:val="00425420"/>
    <w:rsid w:val="00442486"/>
    <w:rsid w:val="0044338D"/>
    <w:rsid w:val="004A7EB6"/>
    <w:rsid w:val="004F059A"/>
    <w:rsid w:val="004F661D"/>
    <w:rsid w:val="00514F9E"/>
    <w:rsid w:val="00542946"/>
    <w:rsid w:val="00615272"/>
    <w:rsid w:val="006A3115"/>
    <w:rsid w:val="006B4837"/>
    <w:rsid w:val="006C0183"/>
    <w:rsid w:val="00715A34"/>
    <w:rsid w:val="00715F37"/>
    <w:rsid w:val="0071768C"/>
    <w:rsid w:val="0072112D"/>
    <w:rsid w:val="007E476F"/>
    <w:rsid w:val="00823D8F"/>
    <w:rsid w:val="00852DD5"/>
    <w:rsid w:val="00875508"/>
    <w:rsid w:val="008817C2"/>
    <w:rsid w:val="00891C19"/>
    <w:rsid w:val="008B7428"/>
    <w:rsid w:val="008F782D"/>
    <w:rsid w:val="00907FF1"/>
    <w:rsid w:val="009B0BD5"/>
    <w:rsid w:val="009C625A"/>
    <w:rsid w:val="00A00093"/>
    <w:rsid w:val="00A165F9"/>
    <w:rsid w:val="00A22269"/>
    <w:rsid w:val="00A3768E"/>
    <w:rsid w:val="00A46BD4"/>
    <w:rsid w:val="00A507C1"/>
    <w:rsid w:val="00AC4DA6"/>
    <w:rsid w:val="00AD73DD"/>
    <w:rsid w:val="00B004FF"/>
    <w:rsid w:val="00B60DCF"/>
    <w:rsid w:val="00B769EB"/>
    <w:rsid w:val="00B77906"/>
    <w:rsid w:val="00B90D4A"/>
    <w:rsid w:val="00C01B64"/>
    <w:rsid w:val="00C34A10"/>
    <w:rsid w:val="00C37618"/>
    <w:rsid w:val="00C470DD"/>
    <w:rsid w:val="00C64598"/>
    <w:rsid w:val="00C66E76"/>
    <w:rsid w:val="00C9234D"/>
    <w:rsid w:val="00CC125A"/>
    <w:rsid w:val="00CF7EC1"/>
    <w:rsid w:val="00D52A35"/>
    <w:rsid w:val="00D6382C"/>
    <w:rsid w:val="00D7331C"/>
    <w:rsid w:val="00DA1F15"/>
    <w:rsid w:val="00DC58B9"/>
    <w:rsid w:val="00DE276A"/>
    <w:rsid w:val="00DE7F84"/>
    <w:rsid w:val="00E1079E"/>
    <w:rsid w:val="00E16B7B"/>
    <w:rsid w:val="00E265AD"/>
    <w:rsid w:val="00E322AE"/>
    <w:rsid w:val="00E370B3"/>
    <w:rsid w:val="00E61997"/>
    <w:rsid w:val="00EF34DF"/>
    <w:rsid w:val="00F10173"/>
    <w:rsid w:val="00F141FB"/>
    <w:rsid w:val="00F476B1"/>
    <w:rsid w:val="00F85B02"/>
    <w:rsid w:val="00FE151B"/>
    <w:rsid w:val="00FF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49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0B3"/>
    <w:rPr>
      <w:color w:val="0000FF" w:themeColor="hyperlink"/>
      <w:u w:val="single"/>
    </w:rPr>
  </w:style>
  <w:style w:type="paragraph" w:styleId="Header">
    <w:name w:val="header"/>
    <w:basedOn w:val="Normal"/>
    <w:link w:val="HeaderChar"/>
    <w:uiPriority w:val="99"/>
    <w:unhideWhenUsed/>
    <w:rsid w:val="006C0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183"/>
  </w:style>
  <w:style w:type="paragraph" w:styleId="Footer">
    <w:name w:val="footer"/>
    <w:basedOn w:val="Normal"/>
    <w:link w:val="FooterChar"/>
    <w:uiPriority w:val="99"/>
    <w:unhideWhenUsed/>
    <w:rsid w:val="006C0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183"/>
  </w:style>
  <w:style w:type="paragraph" w:styleId="ListParagraph">
    <w:name w:val="List Paragraph"/>
    <w:basedOn w:val="Normal"/>
    <w:uiPriority w:val="34"/>
    <w:qFormat/>
    <w:rsid w:val="004F059A"/>
    <w:pPr>
      <w:ind w:left="720"/>
      <w:contextualSpacing/>
    </w:pPr>
  </w:style>
  <w:style w:type="paragraph" w:styleId="BalloonText">
    <w:name w:val="Balloon Text"/>
    <w:basedOn w:val="Normal"/>
    <w:link w:val="BalloonTextChar"/>
    <w:uiPriority w:val="99"/>
    <w:semiHidden/>
    <w:unhideWhenUsed/>
    <w:rsid w:val="00CC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25A"/>
    <w:rPr>
      <w:rFonts w:ascii="Tahoma" w:hAnsi="Tahoma" w:cs="Tahoma"/>
      <w:sz w:val="16"/>
      <w:szCs w:val="16"/>
    </w:rPr>
  </w:style>
  <w:style w:type="character" w:styleId="CommentReference">
    <w:name w:val="annotation reference"/>
    <w:basedOn w:val="DefaultParagraphFont"/>
    <w:uiPriority w:val="99"/>
    <w:semiHidden/>
    <w:unhideWhenUsed/>
    <w:rsid w:val="00852DD5"/>
    <w:rPr>
      <w:sz w:val="16"/>
      <w:szCs w:val="16"/>
    </w:rPr>
  </w:style>
  <w:style w:type="paragraph" w:styleId="CommentText">
    <w:name w:val="annotation text"/>
    <w:basedOn w:val="Normal"/>
    <w:link w:val="CommentTextChar"/>
    <w:uiPriority w:val="99"/>
    <w:semiHidden/>
    <w:unhideWhenUsed/>
    <w:rsid w:val="00852DD5"/>
    <w:pPr>
      <w:spacing w:line="240" w:lineRule="auto"/>
    </w:pPr>
    <w:rPr>
      <w:sz w:val="20"/>
      <w:szCs w:val="20"/>
    </w:rPr>
  </w:style>
  <w:style w:type="character" w:customStyle="1" w:styleId="CommentTextChar">
    <w:name w:val="Comment Text Char"/>
    <w:basedOn w:val="DefaultParagraphFont"/>
    <w:link w:val="CommentText"/>
    <w:uiPriority w:val="99"/>
    <w:semiHidden/>
    <w:rsid w:val="00852DD5"/>
    <w:rPr>
      <w:sz w:val="20"/>
      <w:szCs w:val="20"/>
    </w:rPr>
  </w:style>
  <w:style w:type="paragraph" w:styleId="CommentSubject">
    <w:name w:val="annotation subject"/>
    <w:basedOn w:val="CommentText"/>
    <w:next w:val="CommentText"/>
    <w:link w:val="CommentSubjectChar"/>
    <w:uiPriority w:val="99"/>
    <w:semiHidden/>
    <w:unhideWhenUsed/>
    <w:rsid w:val="00852DD5"/>
    <w:rPr>
      <w:b/>
      <w:bCs/>
    </w:rPr>
  </w:style>
  <w:style w:type="character" w:customStyle="1" w:styleId="CommentSubjectChar">
    <w:name w:val="Comment Subject Char"/>
    <w:basedOn w:val="CommentTextChar"/>
    <w:link w:val="CommentSubject"/>
    <w:uiPriority w:val="99"/>
    <w:semiHidden/>
    <w:rsid w:val="00852DD5"/>
    <w:rPr>
      <w:b/>
      <w:bCs/>
      <w:sz w:val="20"/>
      <w:szCs w:val="20"/>
    </w:rPr>
  </w:style>
  <w:style w:type="character" w:styleId="FollowedHyperlink">
    <w:name w:val="FollowedHyperlink"/>
    <w:basedOn w:val="DefaultParagraphFont"/>
    <w:uiPriority w:val="99"/>
    <w:semiHidden/>
    <w:unhideWhenUsed/>
    <w:rsid w:val="003342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0B3"/>
    <w:rPr>
      <w:color w:val="0000FF" w:themeColor="hyperlink"/>
      <w:u w:val="single"/>
    </w:rPr>
  </w:style>
  <w:style w:type="paragraph" w:styleId="Header">
    <w:name w:val="header"/>
    <w:basedOn w:val="Normal"/>
    <w:link w:val="HeaderChar"/>
    <w:uiPriority w:val="99"/>
    <w:unhideWhenUsed/>
    <w:rsid w:val="006C0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183"/>
  </w:style>
  <w:style w:type="paragraph" w:styleId="Footer">
    <w:name w:val="footer"/>
    <w:basedOn w:val="Normal"/>
    <w:link w:val="FooterChar"/>
    <w:uiPriority w:val="99"/>
    <w:unhideWhenUsed/>
    <w:rsid w:val="006C0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183"/>
  </w:style>
  <w:style w:type="paragraph" w:styleId="ListParagraph">
    <w:name w:val="List Paragraph"/>
    <w:basedOn w:val="Normal"/>
    <w:uiPriority w:val="34"/>
    <w:qFormat/>
    <w:rsid w:val="004F059A"/>
    <w:pPr>
      <w:ind w:left="720"/>
      <w:contextualSpacing/>
    </w:pPr>
  </w:style>
  <w:style w:type="paragraph" w:styleId="BalloonText">
    <w:name w:val="Balloon Text"/>
    <w:basedOn w:val="Normal"/>
    <w:link w:val="BalloonTextChar"/>
    <w:uiPriority w:val="99"/>
    <w:semiHidden/>
    <w:unhideWhenUsed/>
    <w:rsid w:val="00CC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25A"/>
    <w:rPr>
      <w:rFonts w:ascii="Tahoma" w:hAnsi="Tahoma" w:cs="Tahoma"/>
      <w:sz w:val="16"/>
      <w:szCs w:val="16"/>
    </w:rPr>
  </w:style>
  <w:style w:type="character" w:styleId="CommentReference">
    <w:name w:val="annotation reference"/>
    <w:basedOn w:val="DefaultParagraphFont"/>
    <w:uiPriority w:val="99"/>
    <w:semiHidden/>
    <w:unhideWhenUsed/>
    <w:rsid w:val="00852DD5"/>
    <w:rPr>
      <w:sz w:val="16"/>
      <w:szCs w:val="16"/>
    </w:rPr>
  </w:style>
  <w:style w:type="paragraph" w:styleId="CommentText">
    <w:name w:val="annotation text"/>
    <w:basedOn w:val="Normal"/>
    <w:link w:val="CommentTextChar"/>
    <w:uiPriority w:val="99"/>
    <w:semiHidden/>
    <w:unhideWhenUsed/>
    <w:rsid w:val="00852DD5"/>
    <w:pPr>
      <w:spacing w:line="240" w:lineRule="auto"/>
    </w:pPr>
    <w:rPr>
      <w:sz w:val="20"/>
      <w:szCs w:val="20"/>
    </w:rPr>
  </w:style>
  <w:style w:type="character" w:customStyle="1" w:styleId="CommentTextChar">
    <w:name w:val="Comment Text Char"/>
    <w:basedOn w:val="DefaultParagraphFont"/>
    <w:link w:val="CommentText"/>
    <w:uiPriority w:val="99"/>
    <w:semiHidden/>
    <w:rsid w:val="00852DD5"/>
    <w:rPr>
      <w:sz w:val="20"/>
      <w:szCs w:val="20"/>
    </w:rPr>
  </w:style>
  <w:style w:type="paragraph" w:styleId="CommentSubject">
    <w:name w:val="annotation subject"/>
    <w:basedOn w:val="CommentText"/>
    <w:next w:val="CommentText"/>
    <w:link w:val="CommentSubjectChar"/>
    <w:uiPriority w:val="99"/>
    <w:semiHidden/>
    <w:unhideWhenUsed/>
    <w:rsid w:val="00852DD5"/>
    <w:rPr>
      <w:b/>
      <w:bCs/>
    </w:rPr>
  </w:style>
  <w:style w:type="character" w:customStyle="1" w:styleId="CommentSubjectChar">
    <w:name w:val="Comment Subject Char"/>
    <w:basedOn w:val="CommentTextChar"/>
    <w:link w:val="CommentSubject"/>
    <w:uiPriority w:val="99"/>
    <w:semiHidden/>
    <w:rsid w:val="00852DD5"/>
    <w:rPr>
      <w:b/>
      <w:bCs/>
      <w:sz w:val="20"/>
      <w:szCs w:val="20"/>
    </w:rPr>
  </w:style>
  <w:style w:type="character" w:styleId="FollowedHyperlink">
    <w:name w:val="FollowedHyperlink"/>
    <w:basedOn w:val="DefaultParagraphFont"/>
    <w:uiPriority w:val="99"/>
    <w:semiHidden/>
    <w:unhideWhenUsed/>
    <w:rsid w:val="003342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82127">
      <w:bodyDiv w:val="1"/>
      <w:marLeft w:val="0"/>
      <w:marRight w:val="0"/>
      <w:marTop w:val="0"/>
      <w:marBottom w:val="0"/>
      <w:divBdr>
        <w:top w:val="none" w:sz="0" w:space="0" w:color="auto"/>
        <w:left w:val="none" w:sz="0" w:space="0" w:color="auto"/>
        <w:bottom w:val="none" w:sz="0" w:space="0" w:color="auto"/>
        <w:right w:val="none" w:sz="0" w:space="0" w:color="auto"/>
      </w:divBdr>
    </w:div>
    <w:div w:id="186929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uc.ca.gov/General.aspx?id=6442453968" TargetMode="External"/><Relationship Id="rId13" Type="http://schemas.openxmlformats.org/officeDocument/2006/relationships/hyperlink" Target="http://www.energy.ca.gov/assessments/ng_burner_tip.html" TargetMode="External"/><Relationship Id="rId18" Type="http://schemas.openxmlformats.org/officeDocument/2006/relationships/hyperlink" Target="http://cpuc.ca.gov/General.aspx?id=6442453968"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ocketpublic.energy.ca.gov/PublicDocuments/17-IEPR-06/TN221611_20171025T133309_Senate_Bill_350_Doubling_Energy_Efficiency_Savings_by_2030.pdf" TargetMode="External"/><Relationship Id="rId17" Type="http://schemas.openxmlformats.org/officeDocument/2006/relationships/hyperlink" Target="http://cpuc.ca.gov/General.aspx?id=6442457210"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cpuc.ca.gov/General.aspx?id=6442453968" TargetMode="External"/><Relationship Id="rId20" Type="http://schemas.openxmlformats.org/officeDocument/2006/relationships/hyperlink" Target="http://cpuc.ca.gov/General.aspx?id=6442453968" TargetMode="Externa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ketpublic.energy.ca.gov/PublicDocuments/17-IEPR-06/TN221616_20171025T135101_SB350_TARGETS_FINAL.xls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puc.ca.gov/uploadedFiles/CPUCWebsite/Content/UtilitiesIndustries/Energy/EnergyPrograms/ElectPowerProcurementGeneration/irp/2018/IRP_MAG_webinar_2018-03-29_RerunUpdatesOnly_2018-04-23.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cpuc.ca.gov/General.aspx?id=6442453968" TargetMode="External"/><Relationship Id="rId19" Type="http://schemas.openxmlformats.org/officeDocument/2006/relationships/hyperlink" Target="http://cpuc.ca.gov/uploadedFiles/CPUCWebsite/Content/UtilitiesIndustries/Energy/EnergyPrograms/ElectPowerProcurementGeneration/irp/2018/IEPR_btmpv_aapv_icap_and_hourly.xlsx" TargetMode="External"/><Relationship Id="rId4" Type="http://schemas.openxmlformats.org/officeDocument/2006/relationships/settings" Target="settings.xml"/><Relationship Id="rId9" Type="http://schemas.openxmlformats.org/officeDocument/2006/relationships/hyperlink" Target="http://cpuc.ca.gov/uploadedFiles/CPUCWebsite/Content/UtilitiesIndustries/Energy/EnergyPrograms/ElectPowerProcurementGeneration/irp/2018/Compare2017IEPRAAEE_to_DoublingTarget-Statewide.xlsx" TargetMode="External"/><Relationship Id="rId14" Type="http://schemas.openxmlformats.org/officeDocument/2006/relationships/hyperlink" Target="http://docketpublic.energy.ca.gov/PublicDocuments/17-IEPR-03/TN222145_20180116T123231_2017_IEPR_Revised_Carbon_Allowance_Price_Projections.xlsx"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2018-04-24T17:55:00Z</dcterms:created>
  <dcterms:modified xsi:type="dcterms:W3CDTF">2018-04-24T17:55:00Z</dcterms:modified>
</cp:coreProperties>
</file>