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F2B1" w14:textId="77777777" w:rsidR="001237BF" w:rsidRDefault="004D7F17" w:rsidP="004D7F17">
      <w:pPr>
        <w:pStyle w:val="Title"/>
        <w:tabs>
          <w:tab w:val="left" w:pos="2895"/>
          <w:tab w:val="right" w:pos="10080"/>
        </w:tabs>
        <w:jc w:val="left"/>
        <w:rPr>
          <w:rFonts w:ascii="Palatino Linotype" w:hAnsi="Palatino Linotype"/>
        </w:rPr>
      </w:pPr>
      <w:r>
        <w:rPr>
          <w:rFonts w:ascii="Palatino Linotype" w:hAnsi="Palatino Linotype"/>
        </w:rPr>
        <w:tab/>
      </w:r>
      <w:bookmarkStart w:id="0" w:name="_GoBack"/>
      <w:bookmarkEnd w:id="0"/>
    </w:p>
    <w:p w14:paraId="0FAE383C" w14:textId="77777777" w:rsidR="004D7F17" w:rsidRDefault="004D7F17" w:rsidP="004D7F17">
      <w:pPr>
        <w:pStyle w:val="Title"/>
        <w:tabs>
          <w:tab w:val="left" w:pos="2895"/>
          <w:tab w:val="right" w:pos="10080"/>
        </w:tabs>
        <w:jc w:val="left"/>
        <w:rPr>
          <w:rFonts w:ascii="Palatino Linotype" w:hAnsi="Palatino Linotype"/>
        </w:rPr>
      </w:pPr>
    </w:p>
    <w:p w14:paraId="29B017A9" w14:textId="77777777" w:rsidR="003B1DBD" w:rsidRPr="00825ECD" w:rsidRDefault="003B1DBD" w:rsidP="003B1DBD">
      <w:pPr>
        <w:pStyle w:val="Title"/>
        <w:tabs>
          <w:tab w:val="right" w:pos="10080"/>
        </w:tabs>
        <w:rPr>
          <w:rFonts w:ascii="Palatino Linotype" w:hAnsi="Palatino Linotype"/>
        </w:rPr>
      </w:pPr>
      <w:r w:rsidRPr="00825ECD">
        <w:rPr>
          <w:rFonts w:ascii="Palatino Linotype" w:hAnsi="Palatino Linotype"/>
        </w:rPr>
        <w:t>PUBLIC UTILITIES COMMISSION OF THE STATE OF CALIFORNIA</w:t>
      </w:r>
    </w:p>
    <w:p w14:paraId="63887B45" w14:textId="77777777" w:rsidR="003B1DBD" w:rsidRDefault="003B1DBD" w:rsidP="003B1DBD">
      <w:pPr>
        <w:tabs>
          <w:tab w:val="right" w:pos="10080"/>
        </w:tabs>
        <w:rPr>
          <w:rFonts w:ascii="Palatino Linotype" w:hAnsi="Palatino Linotype"/>
        </w:rPr>
      </w:pPr>
    </w:p>
    <w:p w14:paraId="05EDEDD9" w14:textId="77777777" w:rsidR="003B1DBD" w:rsidRPr="00825ECD" w:rsidRDefault="003B1DBD" w:rsidP="003B1DBD">
      <w:pPr>
        <w:tabs>
          <w:tab w:val="right" w:pos="10080"/>
        </w:tabs>
        <w:rPr>
          <w:rFonts w:ascii="Palatino Linotype" w:hAnsi="Palatino Linotype"/>
        </w:rPr>
      </w:pPr>
    </w:p>
    <w:p w14:paraId="13CA40E7" w14:textId="77777777" w:rsidR="003B1DBD" w:rsidRPr="00825ECD" w:rsidRDefault="003B1DBD" w:rsidP="003B1DBD">
      <w:pPr>
        <w:tabs>
          <w:tab w:val="right" w:pos="9360"/>
        </w:tabs>
        <w:rPr>
          <w:rFonts w:ascii="Palatino Linotype" w:hAnsi="Palatino Linotype"/>
          <w:b/>
        </w:rPr>
      </w:pPr>
      <w:r w:rsidRPr="00825ECD">
        <w:rPr>
          <w:rFonts w:ascii="Palatino Linotype" w:hAnsi="Palatino Linotype"/>
          <w:b/>
        </w:rPr>
        <w:t xml:space="preserve">    Communica</w:t>
      </w:r>
      <w:r w:rsidR="004D18E6">
        <w:rPr>
          <w:rFonts w:ascii="Palatino Linotype" w:hAnsi="Palatino Linotype"/>
          <w:b/>
        </w:rPr>
        <w:t>tions Division</w:t>
      </w:r>
      <w:r w:rsidR="004D18E6">
        <w:rPr>
          <w:rFonts w:ascii="Palatino Linotype" w:hAnsi="Palatino Linotype"/>
          <w:b/>
        </w:rPr>
        <w:tab/>
        <w:t>RESOLUTION T-17456</w:t>
      </w:r>
      <w:r w:rsidRPr="00825ECD">
        <w:rPr>
          <w:rFonts w:ascii="Palatino Linotype" w:hAnsi="Palatino Linotype"/>
          <w:b/>
        </w:rPr>
        <w:tab/>
      </w:r>
      <w:r w:rsidRPr="00825ECD">
        <w:rPr>
          <w:rFonts w:ascii="Palatino Linotype" w:hAnsi="Palatino Linotype"/>
          <w:b/>
        </w:rPr>
        <w:tab/>
      </w:r>
      <w:r w:rsidRPr="00825ECD">
        <w:rPr>
          <w:rFonts w:ascii="Palatino Linotype" w:hAnsi="Palatino Linotype"/>
          <w:b/>
        </w:rPr>
        <w:tab/>
      </w:r>
      <w:r w:rsidRPr="00825ECD">
        <w:rPr>
          <w:rFonts w:ascii="Palatino Linotype" w:hAnsi="Palatino Linotype"/>
          <w:b/>
        </w:rPr>
        <w:tab/>
      </w:r>
      <w:r w:rsidRPr="00825ECD">
        <w:rPr>
          <w:rFonts w:ascii="Palatino Linotype" w:hAnsi="Palatino Linotype"/>
          <w:b/>
        </w:rPr>
        <w:tab/>
        <w:t xml:space="preserve">     </w:t>
      </w:r>
      <w:r w:rsidRPr="00825ECD">
        <w:rPr>
          <w:rFonts w:ascii="Palatino Linotype" w:hAnsi="Palatino Linotype"/>
          <w:b/>
        </w:rPr>
        <w:tab/>
      </w:r>
      <w:r w:rsidRPr="00825ECD">
        <w:rPr>
          <w:rFonts w:ascii="Palatino Linotype" w:hAnsi="Palatino Linotype"/>
          <w:b/>
        </w:rPr>
        <w:tab/>
        <w:t>RESOLUTION T-17292</w:t>
      </w:r>
    </w:p>
    <w:p w14:paraId="512891B1" w14:textId="77777777" w:rsidR="003B1DBD" w:rsidRPr="00825ECD" w:rsidRDefault="007518D8" w:rsidP="003B1DBD">
      <w:pPr>
        <w:tabs>
          <w:tab w:val="right" w:pos="9360"/>
        </w:tabs>
        <w:rPr>
          <w:rFonts w:ascii="Palatino Linotype" w:hAnsi="Palatino Linotype"/>
          <w:b/>
        </w:rPr>
      </w:pPr>
      <w:r>
        <w:rPr>
          <w:rFonts w:ascii="Palatino Linotype" w:hAnsi="Palatino Linotype"/>
          <w:b/>
        </w:rPr>
        <w:t xml:space="preserve">    </w:t>
      </w:r>
      <w:r w:rsidR="001E7693">
        <w:rPr>
          <w:rFonts w:ascii="Palatino Linotype" w:hAnsi="Palatino Linotype"/>
          <w:b/>
        </w:rPr>
        <w:t>Cons</w:t>
      </w:r>
      <w:r w:rsidR="002001F4">
        <w:rPr>
          <w:rFonts w:ascii="Palatino Linotype" w:hAnsi="Palatino Linotype"/>
          <w:b/>
        </w:rPr>
        <w:t>umer Programs Branch</w:t>
      </w:r>
      <w:r w:rsidR="002001F4">
        <w:rPr>
          <w:rFonts w:ascii="Palatino Linotype" w:hAnsi="Palatino Linotype"/>
          <w:b/>
        </w:rPr>
        <w:tab/>
        <w:t>November 06</w:t>
      </w:r>
      <w:r>
        <w:rPr>
          <w:rFonts w:ascii="Palatino Linotype" w:hAnsi="Palatino Linotype"/>
          <w:b/>
        </w:rPr>
        <w:t>, 2014</w:t>
      </w:r>
      <w:r w:rsidR="003B1DBD" w:rsidRPr="00825ECD">
        <w:rPr>
          <w:rFonts w:ascii="Palatino Linotype" w:hAnsi="Palatino Linotype"/>
          <w:b/>
        </w:rPr>
        <w:tab/>
      </w:r>
      <w:r w:rsidR="003B1DBD" w:rsidRPr="00825ECD">
        <w:rPr>
          <w:rFonts w:ascii="Palatino Linotype" w:hAnsi="Palatino Linotype"/>
          <w:b/>
        </w:rPr>
        <w:tab/>
      </w:r>
      <w:r w:rsidR="003B1DBD" w:rsidRPr="00825ECD">
        <w:rPr>
          <w:rFonts w:ascii="Palatino Linotype" w:hAnsi="Palatino Linotype"/>
          <w:b/>
        </w:rPr>
        <w:tab/>
      </w:r>
      <w:r w:rsidR="003B1DBD" w:rsidRPr="00825ECD">
        <w:rPr>
          <w:rFonts w:ascii="Palatino Linotype" w:hAnsi="Palatino Linotype"/>
          <w:b/>
        </w:rPr>
        <w:tab/>
        <w:t xml:space="preserve">        September 23, 2010</w:t>
      </w:r>
    </w:p>
    <w:p w14:paraId="1C6A20D9" w14:textId="77777777" w:rsidR="003B1DBD" w:rsidRPr="00825ECD" w:rsidRDefault="003B1DBD" w:rsidP="003B1DBD">
      <w:pPr>
        <w:tabs>
          <w:tab w:val="left" w:pos="6120"/>
          <w:tab w:val="right" w:pos="9480"/>
        </w:tabs>
        <w:rPr>
          <w:rFonts w:ascii="Palatino Linotype" w:hAnsi="Palatino Linotype"/>
          <w:i/>
          <w:sz w:val="20"/>
        </w:rPr>
      </w:pPr>
      <w:r>
        <w:rPr>
          <w:rFonts w:ascii="Palatino Linotype" w:hAnsi="Palatino Linotype"/>
          <w:b/>
        </w:rPr>
        <w:tab/>
        <w:t xml:space="preserve">     </w:t>
      </w:r>
      <w:r w:rsidRPr="00825ECD">
        <w:rPr>
          <w:rFonts w:ascii="Palatino Linotype" w:hAnsi="Palatino Linotype"/>
        </w:rPr>
        <w:tab/>
      </w:r>
      <w:r w:rsidRPr="00825ECD">
        <w:rPr>
          <w:rFonts w:ascii="Palatino Linotype" w:hAnsi="Palatino Linotype"/>
        </w:rPr>
        <w:tab/>
      </w:r>
      <w:r w:rsidRPr="00825ECD">
        <w:rPr>
          <w:rFonts w:ascii="Palatino Linotype" w:hAnsi="Palatino Linotype"/>
        </w:rPr>
        <w:tab/>
      </w:r>
    </w:p>
    <w:p w14:paraId="2E7AEDBD" w14:textId="77777777" w:rsidR="003B1DBD" w:rsidRPr="00825ECD" w:rsidRDefault="003B1DBD" w:rsidP="003B1DBD">
      <w:pPr>
        <w:tabs>
          <w:tab w:val="right" w:pos="10080"/>
        </w:tabs>
        <w:jc w:val="center"/>
        <w:rPr>
          <w:rFonts w:ascii="Palatino Linotype" w:hAnsi="Palatino Linotype"/>
          <w:b/>
          <w:u w:val="single"/>
        </w:rPr>
      </w:pPr>
      <w:r w:rsidRPr="00825ECD">
        <w:rPr>
          <w:rFonts w:ascii="Palatino Linotype" w:hAnsi="Palatino Linotype"/>
          <w:b/>
          <w:u w:val="single"/>
        </w:rPr>
        <w:t>R</w:t>
      </w:r>
      <w:r w:rsidRPr="00825ECD">
        <w:rPr>
          <w:rFonts w:ascii="Palatino Linotype" w:hAnsi="Palatino Linotype"/>
          <w:b/>
        </w:rPr>
        <w:t xml:space="preserve"> </w:t>
      </w:r>
      <w:r w:rsidRPr="00825ECD">
        <w:rPr>
          <w:rFonts w:ascii="Palatino Linotype" w:hAnsi="Palatino Linotype"/>
          <w:b/>
          <w:u w:val="single"/>
        </w:rPr>
        <w:t>E</w:t>
      </w:r>
      <w:r w:rsidRPr="00825ECD">
        <w:rPr>
          <w:rFonts w:ascii="Palatino Linotype" w:hAnsi="Palatino Linotype"/>
          <w:b/>
        </w:rPr>
        <w:t xml:space="preserve"> </w:t>
      </w:r>
      <w:r w:rsidRPr="00825ECD">
        <w:rPr>
          <w:rFonts w:ascii="Palatino Linotype" w:hAnsi="Palatino Linotype"/>
          <w:b/>
          <w:u w:val="single"/>
        </w:rPr>
        <w:t>S</w:t>
      </w:r>
      <w:r w:rsidRPr="00825ECD">
        <w:rPr>
          <w:rFonts w:ascii="Palatino Linotype" w:hAnsi="Palatino Linotype"/>
          <w:b/>
        </w:rPr>
        <w:t xml:space="preserve"> </w:t>
      </w:r>
      <w:r w:rsidRPr="00825ECD">
        <w:rPr>
          <w:rFonts w:ascii="Palatino Linotype" w:hAnsi="Palatino Linotype"/>
          <w:b/>
          <w:u w:val="single"/>
        </w:rPr>
        <w:t>O</w:t>
      </w:r>
      <w:r w:rsidRPr="00825ECD">
        <w:rPr>
          <w:rFonts w:ascii="Palatino Linotype" w:hAnsi="Palatino Linotype"/>
          <w:b/>
        </w:rPr>
        <w:t xml:space="preserve"> </w:t>
      </w:r>
      <w:r w:rsidRPr="00825ECD">
        <w:rPr>
          <w:rFonts w:ascii="Palatino Linotype" w:hAnsi="Palatino Linotype"/>
          <w:b/>
          <w:u w:val="single"/>
        </w:rPr>
        <w:t>L</w:t>
      </w:r>
      <w:r w:rsidRPr="00825ECD">
        <w:rPr>
          <w:rFonts w:ascii="Palatino Linotype" w:hAnsi="Palatino Linotype"/>
          <w:b/>
        </w:rPr>
        <w:t xml:space="preserve"> </w:t>
      </w:r>
      <w:r w:rsidRPr="00825ECD">
        <w:rPr>
          <w:rFonts w:ascii="Palatino Linotype" w:hAnsi="Palatino Linotype"/>
          <w:b/>
          <w:u w:val="single"/>
        </w:rPr>
        <w:t>U</w:t>
      </w:r>
      <w:r w:rsidRPr="00825ECD">
        <w:rPr>
          <w:rFonts w:ascii="Palatino Linotype" w:hAnsi="Palatino Linotype"/>
          <w:b/>
        </w:rPr>
        <w:t xml:space="preserve"> </w:t>
      </w:r>
      <w:r w:rsidRPr="00825ECD">
        <w:rPr>
          <w:rFonts w:ascii="Palatino Linotype" w:hAnsi="Palatino Linotype"/>
          <w:b/>
          <w:u w:val="single"/>
        </w:rPr>
        <w:t>T</w:t>
      </w:r>
      <w:r w:rsidRPr="00825ECD">
        <w:rPr>
          <w:rFonts w:ascii="Palatino Linotype" w:hAnsi="Palatino Linotype"/>
          <w:b/>
        </w:rPr>
        <w:t xml:space="preserve"> </w:t>
      </w:r>
      <w:r w:rsidRPr="00825ECD">
        <w:rPr>
          <w:rFonts w:ascii="Palatino Linotype" w:hAnsi="Palatino Linotype"/>
          <w:b/>
          <w:u w:val="single"/>
        </w:rPr>
        <w:t>I</w:t>
      </w:r>
      <w:r w:rsidRPr="00825ECD">
        <w:rPr>
          <w:rFonts w:ascii="Palatino Linotype" w:hAnsi="Palatino Linotype"/>
          <w:b/>
        </w:rPr>
        <w:t xml:space="preserve"> </w:t>
      </w:r>
      <w:r w:rsidRPr="00825ECD">
        <w:rPr>
          <w:rFonts w:ascii="Palatino Linotype" w:hAnsi="Palatino Linotype"/>
          <w:b/>
          <w:u w:val="single"/>
        </w:rPr>
        <w:t>O</w:t>
      </w:r>
      <w:r w:rsidRPr="00825ECD">
        <w:rPr>
          <w:rFonts w:ascii="Palatino Linotype" w:hAnsi="Palatino Linotype"/>
          <w:b/>
        </w:rPr>
        <w:t xml:space="preserve"> </w:t>
      </w:r>
      <w:r w:rsidRPr="00825ECD">
        <w:rPr>
          <w:rFonts w:ascii="Palatino Linotype" w:hAnsi="Palatino Linotype"/>
          <w:b/>
          <w:u w:val="single"/>
        </w:rPr>
        <w:t>N</w:t>
      </w:r>
    </w:p>
    <w:p w14:paraId="3CFF3B62" w14:textId="77777777" w:rsidR="003B1DBD" w:rsidRPr="00825ECD" w:rsidRDefault="003B1DBD" w:rsidP="003B1DBD">
      <w:pPr>
        <w:tabs>
          <w:tab w:val="right" w:pos="10080"/>
        </w:tabs>
        <w:jc w:val="center"/>
        <w:rPr>
          <w:rFonts w:ascii="Palatino Linotype" w:hAnsi="Palatino Linotype"/>
          <w:b/>
        </w:rPr>
      </w:pPr>
    </w:p>
    <w:p w14:paraId="269602A2" w14:textId="77777777" w:rsidR="007518D8" w:rsidRPr="007518D8" w:rsidRDefault="004D18E6" w:rsidP="007518D8">
      <w:pPr>
        <w:pStyle w:val="BlockText"/>
        <w:ind w:left="1008" w:right="432"/>
        <w:jc w:val="left"/>
        <w:rPr>
          <w:rFonts w:ascii="Palatino Linotype" w:hAnsi="Palatino Linotype"/>
          <w:b/>
        </w:rPr>
      </w:pPr>
      <w:r>
        <w:rPr>
          <w:rFonts w:ascii="Palatino Linotype" w:hAnsi="Palatino Linotype"/>
          <w:b/>
        </w:rPr>
        <w:t>RESOLUTION T-17456</w:t>
      </w:r>
      <w:r w:rsidR="007518D8">
        <w:rPr>
          <w:rFonts w:ascii="Palatino Linotype" w:hAnsi="Palatino Linotype"/>
          <w:b/>
        </w:rPr>
        <w:t xml:space="preserve">.  </w:t>
      </w:r>
      <w:r w:rsidR="007518D8" w:rsidRPr="006E2CB1">
        <w:rPr>
          <w:rFonts w:ascii="Palatino Linotype" w:hAnsi="Palatino Linotype"/>
          <w:b/>
        </w:rPr>
        <w:t xml:space="preserve">Approval of the California </w:t>
      </w:r>
      <w:proofErr w:type="spellStart"/>
      <w:r w:rsidR="007518D8" w:rsidRPr="006E2CB1">
        <w:rPr>
          <w:rFonts w:ascii="Palatino Linotype" w:hAnsi="Palatino Linotype"/>
          <w:b/>
        </w:rPr>
        <w:t>Teleconnect</w:t>
      </w:r>
      <w:proofErr w:type="spellEnd"/>
      <w:r w:rsidR="007518D8" w:rsidRPr="006E2CB1">
        <w:rPr>
          <w:rFonts w:ascii="Palatino Linotype" w:hAnsi="Palatino Linotype"/>
          <w:b/>
        </w:rPr>
        <w:t xml:space="preserve"> Fund Administrative Committee </w:t>
      </w:r>
      <w:r w:rsidR="00285F7F">
        <w:rPr>
          <w:rFonts w:ascii="Palatino Linotype" w:hAnsi="Palatino Linotype"/>
          <w:b/>
        </w:rPr>
        <w:t xml:space="preserve">Fund </w:t>
      </w:r>
      <w:r w:rsidR="007518D8" w:rsidRPr="006E2CB1">
        <w:rPr>
          <w:rFonts w:ascii="Palatino Linotype" w:hAnsi="Palatino Linotype"/>
          <w:b/>
        </w:rPr>
        <w:t>Budget for Fiscal Year 201</w:t>
      </w:r>
      <w:r w:rsidR="00285F7F">
        <w:rPr>
          <w:rFonts w:ascii="Palatino Linotype" w:hAnsi="Palatino Linotype"/>
          <w:b/>
        </w:rPr>
        <w:t>5</w:t>
      </w:r>
      <w:r w:rsidR="007518D8" w:rsidRPr="006E2CB1">
        <w:rPr>
          <w:rFonts w:ascii="Palatino Linotype" w:hAnsi="Palatino Linotype"/>
          <w:b/>
        </w:rPr>
        <w:t>-1</w:t>
      </w:r>
      <w:r w:rsidR="00285F7F">
        <w:rPr>
          <w:rFonts w:ascii="Palatino Linotype" w:hAnsi="Palatino Linotype"/>
          <w:b/>
        </w:rPr>
        <w:t>6</w:t>
      </w:r>
      <w:r w:rsidR="007518D8" w:rsidRPr="006E2CB1">
        <w:rPr>
          <w:rFonts w:ascii="Palatino Linotype" w:hAnsi="Palatino Linotype"/>
          <w:b/>
        </w:rPr>
        <w:t xml:space="preserve"> (July 1, 201</w:t>
      </w:r>
      <w:r w:rsidR="00285F7F">
        <w:rPr>
          <w:rFonts w:ascii="Palatino Linotype" w:hAnsi="Palatino Linotype"/>
          <w:b/>
        </w:rPr>
        <w:t>5</w:t>
      </w:r>
      <w:r w:rsidR="007518D8" w:rsidRPr="006E2CB1">
        <w:rPr>
          <w:rFonts w:ascii="Palatino Linotype" w:hAnsi="Palatino Linotype"/>
          <w:b/>
        </w:rPr>
        <w:t xml:space="preserve"> through June 30, 201</w:t>
      </w:r>
      <w:r w:rsidR="00285F7F">
        <w:rPr>
          <w:rFonts w:ascii="Palatino Linotype" w:hAnsi="Palatino Linotype"/>
          <w:b/>
        </w:rPr>
        <w:t>6</w:t>
      </w:r>
      <w:r w:rsidR="007518D8" w:rsidRPr="006E2CB1">
        <w:rPr>
          <w:rFonts w:ascii="Palatino Linotype" w:hAnsi="Palatino Linotype"/>
          <w:b/>
        </w:rPr>
        <w:t>) to Comply with the Requirements of Public Utilities Code Section 273(a), an Increase in the California</w:t>
      </w:r>
      <w:r w:rsidR="00D21A36">
        <w:rPr>
          <w:rFonts w:ascii="Palatino Linotype" w:hAnsi="Palatino Linotype"/>
          <w:b/>
        </w:rPr>
        <w:t xml:space="preserve"> </w:t>
      </w:r>
      <w:proofErr w:type="spellStart"/>
      <w:r w:rsidR="00D21A36">
        <w:rPr>
          <w:rFonts w:ascii="Palatino Linotype" w:hAnsi="Palatino Linotype"/>
          <w:b/>
        </w:rPr>
        <w:t>Teleconnect</w:t>
      </w:r>
      <w:proofErr w:type="spellEnd"/>
      <w:r w:rsidR="00D21A36">
        <w:rPr>
          <w:rFonts w:ascii="Palatino Linotype" w:hAnsi="Palatino Linotype"/>
          <w:b/>
        </w:rPr>
        <w:t xml:space="preserve"> Funding</w:t>
      </w:r>
      <w:r w:rsidR="007518D8" w:rsidRPr="006E2CB1">
        <w:rPr>
          <w:rFonts w:ascii="Palatino Linotype" w:hAnsi="Palatino Linotype"/>
          <w:b/>
        </w:rPr>
        <w:t xml:space="preserve"> Cap, and an Increase in the Total Discounts Available to Community Colleges.  </w:t>
      </w:r>
    </w:p>
    <w:p w14:paraId="63EFC722" w14:textId="77777777" w:rsidR="003B1DBD" w:rsidRPr="00520FD8" w:rsidRDefault="003B1DBD" w:rsidP="003B1DBD">
      <w:pPr>
        <w:tabs>
          <w:tab w:val="right" w:pos="9360"/>
        </w:tabs>
        <w:rPr>
          <w:rFonts w:ascii="Palatino Linotype" w:hAnsi="Palatino Linotype"/>
          <w:b/>
        </w:rPr>
      </w:pPr>
      <w:r w:rsidRPr="00520FD8">
        <w:rPr>
          <w:rFonts w:ascii="Palatino Linotype" w:hAnsi="Palatino Linotype"/>
          <w:b/>
          <w:u w:val="single"/>
        </w:rPr>
        <w:tab/>
        <w:t>________________</w:t>
      </w:r>
    </w:p>
    <w:p w14:paraId="00B74BBB" w14:textId="77777777" w:rsidR="003B1DBD" w:rsidRPr="00825ECD" w:rsidRDefault="003B1DBD" w:rsidP="003B1DBD">
      <w:pPr>
        <w:tabs>
          <w:tab w:val="right" w:pos="10080"/>
        </w:tabs>
        <w:rPr>
          <w:rFonts w:ascii="Palatino Linotype" w:hAnsi="Palatino Linotype"/>
        </w:rPr>
      </w:pPr>
    </w:p>
    <w:p w14:paraId="12E0F963" w14:textId="77777777" w:rsidR="003B1DBD" w:rsidRPr="00825ECD" w:rsidRDefault="003B1DBD" w:rsidP="003B1DBD">
      <w:pPr>
        <w:tabs>
          <w:tab w:val="right" w:pos="10080"/>
        </w:tabs>
        <w:rPr>
          <w:rFonts w:ascii="Palatino Linotype" w:hAnsi="Palatino Linotype"/>
          <w:b/>
          <w:u w:val="single"/>
        </w:rPr>
      </w:pPr>
    </w:p>
    <w:p w14:paraId="5BCC0423" w14:textId="77777777" w:rsidR="003B1DBD" w:rsidRDefault="003B1DBD" w:rsidP="003B1DBD">
      <w:pPr>
        <w:tabs>
          <w:tab w:val="right" w:pos="10080"/>
        </w:tabs>
        <w:rPr>
          <w:rFonts w:ascii="Palatino Linotype" w:hAnsi="Palatino Linotype"/>
          <w:b/>
          <w:u w:val="single"/>
        </w:rPr>
      </w:pPr>
      <w:r w:rsidRPr="00520FD8">
        <w:rPr>
          <w:rFonts w:ascii="Palatino Linotype" w:hAnsi="Palatino Linotype"/>
          <w:b/>
          <w:u w:val="single"/>
        </w:rPr>
        <w:t>SUMMARY</w:t>
      </w:r>
    </w:p>
    <w:p w14:paraId="3CC78865" w14:textId="77777777" w:rsidR="007518D8" w:rsidRPr="00520FD8" w:rsidRDefault="007518D8" w:rsidP="003B1DBD">
      <w:pPr>
        <w:tabs>
          <w:tab w:val="right" w:pos="10080"/>
        </w:tabs>
        <w:rPr>
          <w:rFonts w:ascii="Palatino Linotype" w:hAnsi="Palatino Linotype"/>
          <w:b/>
          <w:u w:val="single"/>
        </w:rPr>
      </w:pPr>
    </w:p>
    <w:p w14:paraId="4DC86C66" w14:textId="77777777" w:rsidR="007518D8" w:rsidRDefault="007518D8" w:rsidP="007518D8">
      <w:pPr>
        <w:rPr>
          <w:rFonts w:ascii="Palatino Linotype" w:hAnsi="Palatino Linotype"/>
        </w:rPr>
      </w:pPr>
      <w:r>
        <w:rPr>
          <w:rFonts w:ascii="Palatino Linotype" w:hAnsi="Palatino Linotype"/>
        </w:rPr>
        <w:t xml:space="preserve">This </w:t>
      </w:r>
      <w:r w:rsidR="0081671C">
        <w:rPr>
          <w:rFonts w:ascii="Palatino Linotype" w:hAnsi="Palatino Linotype"/>
        </w:rPr>
        <w:t xml:space="preserve">Resolution </w:t>
      </w:r>
      <w:r>
        <w:rPr>
          <w:rFonts w:ascii="Palatino Linotype" w:hAnsi="Palatino Linotype"/>
        </w:rPr>
        <w:t xml:space="preserve">adopts the following provisions for the California </w:t>
      </w:r>
      <w:proofErr w:type="spellStart"/>
      <w:r>
        <w:rPr>
          <w:rFonts w:ascii="Palatino Linotype" w:hAnsi="Palatino Linotype"/>
        </w:rPr>
        <w:t>Teleconnect</w:t>
      </w:r>
      <w:proofErr w:type="spellEnd"/>
      <w:r>
        <w:rPr>
          <w:rFonts w:ascii="Palatino Linotype" w:hAnsi="Palatino Linotype"/>
        </w:rPr>
        <w:t xml:space="preserve"> Fund (CTF) Program:</w:t>
      </w:r>
    </w:p>
    <w:p w14:paraId="1CF35980" w14:textId="77777777" w:rsidR="007518D8" w:rsidRDefault="007518D8" w:rsidP="007518D8">
      <w:pPr>
        <w:tabs>
          <w:tab w:val="left" w:pos="3757"/>
        </w:tabs>
        <w:rPr>
          <w:rFonts w:ascii="Palatino Linotype" w:hAnsi="Palatino Linotype"/>
        </w:rPr>
      </w:pPr>
      <w:r>
        <w:rPr>
          <w:rFonts w:ascii="Palatino Linotype" w:hAnsi="Palatino Linotype"/>
        </w:rPr>
        <w:t xml:space="preserve"> </w:t>
      </w:r>
      <w:r>
        <w:rPr>
          <w:rFonts w:ascii="Palatino Linotype" w:hAnsi="Palatino Linotype"/>
        </w:rPr>
        <w:tab/>
      </w:r>
    </w:p>
    <w:p w14:paraId="3EBD522D" w14:textId="77777777" w:rsidR="007518D8" w:rsidRDefault="00112CA7" w:rsidP="007518D8">
      <w:pPr>
        <w:numPr>
          <w:ilvl w:val="0"/>
          <w:numId w:val="3"/>
        </w:numPr>
        <w:rPr>
          <w:rFonts w:ascii="Palatino Linotype" w:hAnsi="Palatino Linotype"/>
        </w:rPr>
      </w:pPr>
      <w:r>
        <w:rPr>
          <w:rFonts w:ascii="Palatino Linotype" w:hAnsi="Palatino Linotype"/>
        </w:rPr>
        <w:t>A budget of $148,086,714</w:t>
      </w:r>
      <w:r w:rsidR="007518D8">
        <w:rPr>
          <w:rFonts w:ascii="Palatino Linotype" w:eastAsia="MS Mincho" w:hAnsi="Palatino Linotype" w:cs="Arial"/>
          <w:lang w:eastAsia="ja-JP"/>
        </w:rPr>
        <w:t xml:space="preserve"> </w:t>
      </w:r>
      <w:r w:rsidR="007518D8">
        <w:rPr>
          <w:rFonts w:ascii="Palatino Linotype" w:hAnsi="Palatino Linotype"/>
        </w:rPr>
        <w:t>for Fiscal Year (FY) 2015-16;</w:t>
      </w:r>
    </w:p>
    <w:p w14:paraId="0006578D" w14:textId="77777777" w:rsidR="007518D8" w:rsidRDefault="007518D8" w:rsidP="007518D8">
      <w:pPr>
        <w:numPr>
          <w:ilvl w:val="0"/>
          <w:numId w:val="3"/>
        </w:numPr>
        <w:rPr>
          <w:rFonts w:ascii="Palatino Linotype" w:hAnsi="Palatino Linotype"/>
        </w:rPr>
      </w:pPr>
      <w:r>
        <w:rPr>
          <w:rFonts w:ascii="Palatino Linotype" w:hAnsi="Palatino Linotype"/>
        </w:rPr>
        <w:t>An increase to t</w:t>
      </w:r>
      <w:r w:rsidR="00A457DB">
        <w:rPr>
          <w:rFonts w:ascii="Palatino Linotype" w:hAnsi="Palatino Linotype"/>
        </w:rPr>
        <w:t>he C</w:t>
      </w:r>
      <w:r w:rsidR="0084077E">
        <w:rPr>
          <w:rFonts w:ascii="Palatino Linotype" w:hAnsi="Palatino Linotype"/>
        </w:rPr>
        <w:t xml:space="preserve">TF funding </w:t>
      </w:r>
      <w:r w:rsidR="006F5A57">
        <w:rPr>
          <w:rFonts w:ascii="Palatino Linotype" w:hAnsi="Palatino Linotype"/>
        </w:rPr>
        <w:t>cap to $148,0</w:t>
      </w:r>
      <w:r w:rsidR="004845C0">
        <w:rPr>
          <w:rFonts w:ascii="Palatino Linotype" w:hAnsi="Palatino Linotype"/>
        </w:rPr>
        <w:t>86,714</w:t>
      </w:r>
      <w:r w:rsidR="001E7693">
        <w:rPr>
          <w:rFonts w:ascii="Palatino Linotype" w:hAnsi="Palatino Linotype"/>
        </w:rPr>
        <w:t>; composed of $145,065,000 for Local Assistance,</w:t>
      </w:r>
      <w:r w:rsidR="00112CA7">
        <w:rPr>
          <w:rFonts w:ascii="Palatino Linotype" w:hAnsi="Palatino Linotype"/>
        </w:rPr>
        <w:t xml:space="preserve"> $2,945,000 for State Operations, $76</w:t>
      </w:r>
      <w:r w:rsidR="001E7693">
        <w:rPr>
          <w:rFonts w:ascii="Palatino Linotype" w:hAnsi="Palatino Linotype"/>
        </w:rPr>
        <w:t>,000 for Financial Information S</w:t>
      </w:r>
      <w:r w:rsidR="00112CA7">
        <w:rPr>
          <w:rFonts w:ascii="Palatino Linotype" w:hAnsi="Palatino Linotype"/>
        </w:rPr>
        <w:t>ystem for California and $714</w:t>
      </w:r>
      <w:r w:rsidR="001E7693">
        <w:rPr>
          <w:rFonts w:ascii="Palatino Linotype" w:hAnsi="Palatino Linotype"/>
        </w:rPr>
        <w:t xml:space="preserve"> for State Controller. </w:t>
      </w:r>
    </w:p>
    <w:p w14:paraId="0E596F7A" w14:textId="77777777" w:rsidR="007518D8" w:rsidRPr="00CB5265" w:rsidRDefault="007518D8" w:rsidP="007518D8">
      <w:pPr>
        <w:numPr>
          <w:ilvl w:val="0"/>
          <w:numId w:val="3"/>
        </w:numPr>
        <w:rPr>
          <w:rFonts w:ascii="Palatino Linotype" w:hAnsi="Palatino Linotype"/>
        </w:rPr>
      </w:pPr>
      <w:r>
        <w:rPr>
          <w:rFonts w:ascii="Palatino Linotype" w:hAnsi="Palatino Linotype"/>
        </w:rPr>
        <w:t>A cap of $11,555,014 for CTF discounts available to community colleges in   FY 2015-16.</w:t>
      </w:r>
    </w:p>
    <w:p w14:paraId="18165817" w14:textId="77777777" w:rsidR="007518D8" w:rsidRDefault="003C1AC4" w:rsidP="003C1AC4">
      <w:pPr>
        <w:tabs>
          <w:tab w:val="left" w:pos="6889"/>
        </w:tabs>
        <w:rPr>
          <w:rFonts w:ascii="Palatino Linotype" w:hAnsi="Palatino Linotype"/>
        </w:rPr>
      </w:pPr>
      <w:r>
        <w:rPr>
          <w:rFonts w:ascii="Palatino Linotype" w:hAnsi="Palatino Linotype"/>
        </w:rPr>
        <w:tab/>
      </w:r>
    </w:p>
    <w:p w14:paraId="2C3E3767" w14:textId="77777777" w:rsidR="003B1DBD" w:rsidRDefault="003B1DBD" w:rsidP="003B1DBD">
      <w:pPr>
        <w:tabs>
          <w:tab w:val="right" w:pos="10080"/>
        </w:tabs>
        <w:rPr>
          <w:rFonts w:ascii="Palatino Linotype" w:hAnsi="Palatino Linotype"/>
          <w:b/>
          <w:u w:val="single"/>
        </w:rPr>
      </w:pPr>
      <w:r w:rsidRPr="00520FD8">
        <w:rPr>
          <w:rFonts w:ascii="Palatino Linotype" w:hAnsi="Palatino Linotype"/>
          <w:b/>
          <w:u w:val="single"/>
        </w:rPr>
        <w:t>BACKGROUND</w:t>
      </w:r>
    </w:p>
    <w:p w14:paraId="69E031EB" w14:textId="77777777" w:rsidR="007518D8" w:rsidRPr="00520FD8" w:rsidRDefault="007518D8" w:rsidP="003B1DBD">
      <w:pPr>
        <w:tabs>
          <w:tab w:val="right" w:pos="10080"/>
        </w:tabs>
        <w:rPr>
          <w:rFonts w:ascii="Palatino Linotype" w:hAnsi="Palatino Linotype"/>
          <w:b/>
          <w:u w:val="single"/>
        </w:rPr>
      </w:pPr>
    </w:p>
    <w:p w14:paraId="58E7E148" w14:textId="77777777" w:rsidR="007518D8" w:rsidRDefault="007518D8" w:rsidP="007518D8">
      <w:pPr>
        <w:pStyle w:val="BodyText"/>
        <w:rPr>
          <w:rFonts w:ascii="Palatino Linotype" w:hAnsi="Palatino Linotype"/>
        </w:rPr>
      </w:pPr>
      <w:r>
        <w:rPr>
          <w:rFonts w:ascii="Palatino Linotype" w:hAnsi="Palatino Linotype"/>
          <w:szCs w:val="24"/>
        </w:rPr>
        <w:t>In D</w:t>
      </w:r>
      <w:r w:rsidR="00C37A9D">
        <w:rPr>
          <w:rFonts w:ascii="Palatino Linotype" w:hAnsi="Palatino Linotype"/>
          <w:szCs w:val="24"/>
        </w:rPr>
        <w:t xml:space="preserve">ecision (D.) </w:t>
      </w:r>
      <w:r>
        <w:rPr>
          <w:rFonts w:ascii="Palatino Linotype" w:hAnsi="Palatino Linotype"/>
          <w:szCs w:val="24"/>
        </w:rPr>
        <w:t xml:space="preserve">96-10-066, the Commission created the California </w:t>
      </w:r>
      <w:proofErr w:type="spellStart"/>
      <w:r>
        <w:rPr>
          <w:rFonts w:ascii="Palatino Linotype" w:hAnsi="Palatino Linotype"/>
          <w:szCs w:val="24"/>
        </w:rPr>
        <w:t>Teleconnect</w:t>
      </w:r>
      <w:proofErr w:type="spellEnd"/>
      <w:r>
        <w:rPr>
          <w:rFonts w:ascii="Palatino Linotype" w:hAnsi="Palatino Linotype"/>
          <w:szCs w:val="24"/>
        </w:rPr>
        <w:t xml:space="preserve"> Fund (CTF) program, effective October 25, 1996, to provide discounted rates for advanced telecommunications services for qualifying schools, libraries, government-owned health care providers, and </w:t>
      </w:r>
      <w:proofErr w:type="gramStart"/>
      <w:r>
        <w:rPr>
          <w:rFonts w:ascii="Palatino Linotype" w:hAnsi="Palatino Linotype"/>
          <w:szCs w:val="24"/>
        </w:rPr>
        <w:t>community based</w:t>
      </w:r>
      <w:proofErr w:type="gramEnd"/>
      <w:r>
        <w:rPr>
          <w:rFonts w:ascii="Palatino Linotype" w:hAnsi="Palatino Linotype"/>
          <w:szCs w:val="24"/>
        </w:rPr>
        <w:t xml:space="preserve"> organizations (CBOs).</w:t>
      </w:r>
      <w:r>
        <w:rPr>
          <w:rFonts w:ascii="Palatino Linotype" w:hAnsi="Palatino Linotype"/>
        </w:rPr>
        <w:t xml:space="preserve">  </w:t>
      </w:r>
    </w:p>
    <w:p w14:paraId="52BA69FC" w14:textId="77777777" w:rsidR="007518D8" w:rsidRDefault="007518D8" w:rsidP="007518D8">
      <w:pPr>
        <w:pStyle w:val="BodyText"/>
        <w:rPr>
          <w:rFonts w:ascii="Palatino Linotype" w:hAnsi="Palatino Linotype"/>
        </w:rPr>
      </w:pPr>
    </w:p>
    <w:p w14:paraId="5480D8CA" w14:textId="77777777" w:rsidR="007518D8" w:rsidRDefault="007518D8" w:rsidP="007518D8">
      <w:pPr>
        <w:rPr>
          <w:rFonts w:ascii="Palatino Linotype" w:hAnsi="Palatino Linotype"/>
        </w:rPr>
      </w:pPr>
      <w:r>
        <w:rPr>
          <w:rFonts w:ascii="Palatino Linotype" w:hAnsi="Palatino Linotype"/>
        </w:rPr>
        <w:t xml:space="preserve">In May 2006, the Commission opened Rulemaking </w:t>
      </w:r>
      <w:r w:rsidR="00C37A9D">
        <w:rPr>
          <w:rFonts w:ascii="Palatino Linotype" w:hAnsi="Palatino Linotype"/>
        </w:rPr>
        <w:t xml:space="preserve">(R.) </w:t>
      </w:r>
      <w:r>
        <w:rPr>
          <w:rFonts w:ascii="Palatino Linotype" w:hAnsi="Palatino Linotype"/>
        </w:rPr>
        <w:t xml:space="preserve">06-05-028 to conduct a comprehensive review of the Telecommunications Public Purpose Programs, including </w:t>
      </w:r>
      <w:r>
        <w:rPr>
          <w:rFonts w:ascii="Palatino Linotype" w:hAnsi="Palatino Linotype"/>
        </w:rPr>
        <w:lastRenderedPageBreak/>
        <w:t xml:space="preserve">the CTF.  Subsequently, the Commission issued D.08-06-020 on June 12, 2008.  The Commission found that the CTF was successfully enhancing universal service </w:t>
      </w:r>
      <w:proofErr w:type="gramStart"/>
      <w:r>
        <w:rPr>
          <w:rFonts w:ascii="Palatino Linotype" w:hAnsi="Palatino Linotype"/>
        </w:rPr>
        <w:t>goals, and</w:t>
      </w:r>
      <w:proofErr w:type="gramEnd"/>
      <w:r>
        <w:rPr>
          <w:rFonts w:ascii="Palatino Linotype" w:hAnsi="Palatino Linotype"/>
        </w:rPr>
        <w:t xml:space="preserve"> ordered several key changes to the CTF program.  These changes included the removal of CTF tariff requirements [for all carriers that provide CTF-eligible services on a </w:t>
      </w:r>
      <w:proofErr w:type="spellStart"/>
      <w:r>
        <w:rPr>
          <w:rFonts w:ascii="Palatino Linotype" w:hAnsi="Palatino Linotype"/>
        </w:rPr>
        <w:t>detariffed</w:t>
      </w:r>
      <w:proofErr w:type="spellEnd"/>
      <w:r>
        <w:rPr>
          <w:rFonts w:ascii="Palatino Linotype" w:hAnsi="Palatino Linotype"/>
        </w:rPr>
        <w:t xml:space="preserve"> or non-regulated basis], and the inclusion of California’s community</w:t>
      </w:r>
      <w:r w:rsidRPr="007518D8">
        <w:rPr>
          <w:rFonts w:ascii="Palatino Linotype" w:hAnsi="Palatino Linotype"/>
        </w:rPr>
        <w:t xml:space="preserve"> </w:t>
      </w:r>
      <w:r>
        <w:rPr>
          <w:rFonts w:ascii="Palatino Linotype" w:hAnsi="Palatino Linotype"/>
        </w:rPr>
        <w:t xml:space="preserve">colleges, California Telehealth Network participants, </w:t>
      </w:r>
      <w:proofErr w:type="gramStart"/>
      <w:r>
        <w:rPr>
          <w:rFonts w:ascii="Palatino Linotype" w:hAnsi="Palatino Linotype"/>
        </w:rPr>
        <w:t>and  CBOs</w:t>
      </w:r>
      <w:proofErr w:type="gramEnd"/>
      <w:r>
        <w:rPr>
          <w:rFonts w:ascii="Palatino Linotype" w:hAnsi="Palatino Linotype"/>
        </w:rPr>
        <w:t xml:space="preserve"> authorized to provide 2-1-1 Information and Referral Services.</w:t>
      </w:r>
      <w:r>
        <w:rPr>
          <w:rStyle w:val="FootnoteReference"/>
          <w:rFonts w:ascii="Palatino Linotype" w:hAnsi="Palatino Linotype"/>
        </w:rPr>
        <w:footnoteReference w:id="1"/>
      </w:r>
      <w:r>
        <w:rPr>
          <w:rFonts w:ascii="Palatino Linotype" w:hAnsi="Palatino Linotype"/>
        </w:rPr>
        <w:t xml:space="preserve">  </w:t>
      </w:r>
    </w:p>
    <w:p w14:paraId="6E099AF7" w14:textId="77777777" w:rsidR="007518D8" w:rsidRDefault="007518D8" w:rsidP="007518D8">
      <w:pPr>
        <w:rPr>
          <w:rFonts w:ascii="Palatino Linotype" w:hAnsi="Palatino Linotype"/>
        </w:rPr>
      </w:pPr>
    </w:p>
    <w:p w14:paraId="018AF0EB" w14:textId="77777777" w:rsidR="007518D8" w:rsidRPr="0001182E" w:rsidRDefault="007518D8" w:rsidP="007518D8">
      <w:pPr>
        <w:rPr>
          <w:rFonts w:ascii="Palatino Linotype" w:hAnsi="Palatino Linotype"/>
        </w:rPr>
      </w:pPr>
      <w:r w:rsidRPr="0001182E">
        <w:rPr>
          <w:rFonts w:ascii="Palatino Linotype" w:hAnsi="Palatino Linotype"/>
        </w:rPr>
        <w:t>On January 31, 2013, the Commission on its own motion opened Rulemaking 13-01-010 to determine whether the CTF is fulfilling its purpose, and whether the CTF’s current structure and administrative processes are adequate to further the program’s goals.</w:t>
      </w:r>
      <w:r w:rsidRPr="0001182E">
        <w:rPr>
          <w:rStyle w:val="FootnoteReference"/>
          <w:rFonts w:ascii="Palatino Linotype" w:hAnsi="Palatino Linotype"/>
        </w:rPr>
        <w:footnoteReference w:id="2"/>
      </w:r>
      <w:r w:rsidRPr="0001182E">
        <w:rPr>
          <w:rFonts w:ascii="Palatino Linotype" w:hAnsi="Palatino Linotype"/>
        </w:rPr>
        <w:t xml:space="preserve">  In this rulemaking, the Commission will review the program goals, participant eligibility, eligible services, service provider eligibility, and budget</w:t>
      </w:r>
      <w:r w:rsidR="00AC0402">
        <w:rPr>
          <w:rFonts w:ascii="Palatino Linotype" w:hAnsi="Palatino Linotype"/>
        </w:rPr>
        <w:t xml:space="preserve"> and administrative rules.  The </w:t>
      </w:r>
      <w:r w:rsidRPr="0001182E">
        <w:rPr>
          <w:rFonts w:ascii="Palatino Linotype" w:hAnsi="Palatino Linotype"/>
        </w:rPr>
        <w:t>Rulemaking</w:t>
      </w:r>
      <w:r w:rsidR="00AC0402">
        <w:rPr>
          <w:rFonts w:ascii="Palatino Linotype" w:hAnsi="Palatino Linotype"/>
        </w:rPr>
        <w:t xml:space="preserve"> is currently still open and</w:t>
      </w:r>
      <w:r w:rsidRPr="0001182E">
        <w:rPr>
          <w:rFonts w:ascii="Palatino Linotype" w:hAnsi="Palatino Linotype"/>
        </w:rPr>
        <w:t xml:space="preserve"> may </w:t>
      </w:r>
      <w:r w:rsidR="00BE53EB">
        <w:rPr>
          <w:rFonts w:ascii="Palatino Linotype" w:hAnsi="Palatino Linotype"/>
        </w:rPr>
        <w:t>affect the budget for FY 2015-16</w:t>
      </w:r>
      <w:r w:rsidRPr="0001182E">
        <w:rPr>
          <w:rFonts w:ascii="Palatino Linotype" w:hAnsi="Palatino Linotype"/>
        </w:rPr>
        <w:t>.</w:t>
      </w:r>
    </w:p>
    <w:p w14:paraId="4A490C29" w14:textId="77777777" w:rsidR="007518D8" w:rsidRPr="00710768" w:rsidRDefault="007518D8" w:rsidP="007518D8">
      <w:pPr>
        <w:pStyle w:val="BodyText"/>
        <w:rPr>
          <w:rFonts w:ascii="Palatino Linotype" w:hAnsi="Palatino Linotype"/>
          <w:szCs w:val="24"/>
        </w:rPr>
      </w:pPr>
    </w:p>
    <w:p w14:paraId="6F6461DA" w14:textId="77777777" w:rsidR="007148FF" w:rsidRPr="003A1523" w:rsidRDefault="007518D8" w:rsidP="003A1523">
      <w:pPr>
        <w:pStyle w:val="Heading4"/>
        <w:rPr>
          <w:rFonts w:ascii="Palatino Linotype" w:hAnsi="Palatino Linotype"/>
          <w:b w:val="0"/>
          <w:sz w:val="24"/>
          <w:szCs w:val="24"/>
        </w:rPr>
      </w:pPr>
      <w:r w:rsidRPr="007518D8">
        <w:rPr>
          <w:rFonts w:ascii="Palatino Linotype" w:hAnsi="Palatino Linotype"/>
          <w:b w:val="0"/>
          <w:sz w:val="24"/>
          <w:szCs w:val="24"/>
        </w:rPr>
        <w:t>The CTF program is funded by a surcharge assessed on revenues collected from end-users for intrastate telecommunications services subject to surcharge. The current CTF surcharge rate is 0.</w:t>
      </w:r>
      <w:r>
        <w:rPr>
          <w:rFonts w:ascii="Palatino Linotype" w:hAnsi="Palatino Linotype"/>
          <w:b w:val="0"/>
          <w:sz w:val="24"/>
          <w:szCs w:val="24"/>
        </w:rPr>
        <w:t>93</w:t>
      </w:r>
      <w:r w:rsidRPr="007518D8">
        <w:rPr>
          <w:rFonts w:ascii="Palatino Linotype" w:hAnsi="Palatino Linotype"/>
          <w:b w:val="0"/>
          <w:sz w:val="24"/>
          <w:szCs w:val="24"/>
        </w:rPr>
        <w:t>%.</w:t>
      </w:r>
      <w:r w:rsidRPr="007518D8">
        <w:rPr>
          <w:rStyle w:val="FootnoteReference"/>
          <w:rFonts w:ascii="Palatino Linotype" w:hAnsi="Palatino Linotype"/>
          <w:b w:val="0"/>
          <w:sz w:val="24"/>
          <w:szCs w:val="24"/>
        </w:rPr>
        <w:footnoteReference w:id="3"/>
      </w:r>
      <w:r w:rsidRPr="007518D8">
        <w:rPr>
          <w:rFonts w:ascii="Palatino Linotype" w:hAnsi="Palatino Linotype"/>
          <w:b w:val="0"/>
          <w:sz w:val="24"/>
          <w:szCs w:val="24"/>
        </w:rPr>
        <w:t xml:space="preserve"> </w:t>
      </w:r>
    </w:p>
    <w:p w14:paraId="790ACF25" w14:textId="77777777" w:rsidR="007518D8" w:rsidRDefault="007518D8" w:rsidP="007518D8">
      <w:pPr>
        <w:pStyle w:val="Heading4"/>
        <w:rPr>
          <w:rFonts w:ascii="Palatino Linotype" w:hAnsi="Palatino Linotype"/>
          <w:sz w:val="24"/>
          <w:szCs w:val="24"/>
        </w:rPr>
      </w:pPr>
    </w:p>
    <w:p w14:paraId="2EB9AE76" w14:textId="77777777" w:rsidR="007518D8" w:rsidRPr="00452624" w:rsidRDefault="007518D8" w:rsidP="007518D8">
      <w:pPr>
        <w:pStyle w:val="Heading4"/>
        <w:rPr>
          <w:rFonts w:ascii="Palatino Linotype" w:hAnsi="Palatino Linotype"/>
          <w:sz w:val="24"/>
          <w:szCs w:val="24"/>
        </w:rPr>
      </w:pPr>
      <w:r w:rsidRPr="00452624">
        <w:rPr>
          <w:rFonts w:ascii="Palatino Linotype" w:hAnsi="Palatino Linotype"/>
          <w:sz w:val="24"/>
          <w:szCs w:val="24"/>
        </w:rPr>
        <w:t>CTF Budget</w:t>
      </w:r>
    </w:p>
    <w:p w14:paraId="2466ADA0" w14:textId="77777777" w:rsidR="007518D8" w:rsidRDefault="007518D8" w:rsidP="007518D8">
      <w:pPr>
        <w:pStyle w:val="BodyText"/>
        <w:rPr>
          <w:rFonts w:ascii="Palatino Linotype" w:hAnsi="Palatino Linotype"/>
        </w:rPr>
      </w:pPr>
    </w:p>
    <w:p w14:paraId="121F94EA" w14:textId="77777777" w:rsidR="007518D8" w:rsidRDefault="007518D8" w:rsidP="007518D8">
      <w:pPr>
        <w:pStyle w:val="BodyText"/>
        <w:rPr>
          <w:rFonts w:ascii="Palatino Linotype" w:hAnsi="Palatino Linotype"/>
          <w:szCs w:val="24"/>
        </w:rPr>
      </w:pPr>
      <w:r>
        <w:rPr>
          <w:rFonts w:ascii="Palatino Linotype" w:hAnsi="Palatino Linotype"/>
          <w:szCs w:val="24"/>
        </w:rPr>
        <w:t xml:space="preserve">Public Utilities (PU) Code Sections 270-281 </w:t>
      </w:r>
      <w:r w:rsidR="00285F7F">
        <w:rPr>
          <w:rFonts w:ascii="Palatino Linotype" w:hAnsi="Palatino Linotype"/>
          <w:szCs w:val="24"/>
        </w:rPr>
        <w:t>were</w:t>
      </w:r>
      <w:r>
        <w:rPr>
          <w:rFonts w:ascii="Palatino Linotype" w:hAnsi="Palatino Linotype"/>
          <w:szCs w:val="24"/>
        </w:rPr>
        <w:t xml:space="preserve"> enacted in October 1999.  Section 280(d) requires that the money appropriated from the CTF Administrative Committee Fund be used only for the CTF program.</w:t>
      </w:r>
      <w:r>
        <w:rPr>
          <w:rStyle w:val="FootnoteReference"/>
          <w:rFonts w:ascii="Palatino Linotype" w:hAnsi="Palatino Linotype"/>
          <w:szCs w:val="24"/>
        </w:rPr>
        <w:footnoteReference w:id="4"/>
      </w:r>
    </w:p>
    <w:p w14:paraId="60A09AEA" w14:textId="77777777" w:rsidR="007518D8" w:rsidRDefault="007518D8" w:rsidP="007518D8">
      <w:pPr>
        <w:pStyle w:val="BodyText"/>
        <w:rPr>
          <w:rFonts w:ascii="Palatino Linotype" w:hAnsi="Palatino Linotype"/>
          <w:szCs w:val="24"/>
        </w:rPr>
      </w:pPr>
    </w:p>
    <w:p w14:paraId="0C63EEE8" w14:textId="77777777" w:rsidR="007518D8" w:rsidRDefault="007518D8" w:rsidP="007518D8">
      <w:pPr>
        <w:pStyle w:val="BodyText"/>
        <w:rPr>
          <w:rFonts w:ascii="Palatino Linotype" w:hAnsi="Palatino Linotype"/>
          <w:szCs w:val="24"/>
        </w:rPr>
      </w:pPr>
      <w:r>
        <w:rPr>
          <w:rFonts w:ascii="Palatino Linotype" w:hAnsi="Palatino Linotype"/>
          <w:szCs w:val="24"/>
        </w:rPr>
        <w:t>The CTF Administrative Committee (CTF-AC) is required to submit a proposed budget to the Commission on or before June 1 of each year.</w:t>
      </w:r>
      <w:r>
        <w:rPr>
          <w:rStyle w:val="FootnoteReference"/>
          <w:rFonts w:ascii="Palatino Linotype" w:hAnsi="Palatino Linotype"/>
          <w:szCs w:val="24"/>
        </w:rPr>
        <w:footnoteReference w:id="5"/>
      </w:r>
      <w:r>
        <w:rPr>
          <w:rFonts w:ascii="Palatino Linotype" w:hAnsi="Palatino Linotype"/>
          <w:szCs w:val="24"/>
        </w:rPr>
        <w:t xml:space="preserve">  The Committee submit</w:t>
      </w:r>
      <w:r w:rsidR="00662283">
        <w:rPr>
          <w:rFonts w:ascii="Palatino Linotype" w:hAnsi="Palatino Linotype"/>
          <w:szCs w:val="24"/>
        </w:rPr>
        <w:t>ted a letter, dated July 21st</w:t>
      </w:r>
      <w:r w:rsidR="00BE53EB">
        <w:rPr>
          <w:rFonts w:ascii="Palatino Linotype" w:hAnsi="Palatino Linotype"/>
          <w:szCs w:val="24"/>
        </w:rPr>
        <w:t>, 2014</w:t>
      </w:r>
      <w:r>
        <w:rPr>
          <w:rFonts w:ascii="Palatino Linotype" w:hAnsi="Palatino Linotype"/>
          <w:szCs w:val="24"/>
        </w:rPr>
        <w:t xml:space="preserve">, to the Commission’s Executive Director seeking approval of a proposed budget of </w:t>
      </w:r>
      <w:r>
        <w:rPr>
          <w:rFonts w:ascii="Palatino Linotype" w:hAnsi="Palatino Linotype"/>
          <w:szCs w:val="24"/>
          <w:lang w:eastAsia="ja-JP"/>
        </w:rPr>
        <w:t>$</w:t>
      </w:r>
      <w:r w:rsidR="00613F88">
        <w:rPr>
          <w:rFonts w:ascii="Palatino Linotype" w:hAnsi="Palatino Linotype"/>
          <w:szCs w:val="24"/>
        </w:rPr>
        <w:t>11</w:t>
      </w:r>
      <w:r w:rsidR="00635616">
        <w:rPr>
          <w:rFonts w:ascii="Palatino Linotype" w:hAnsi="Palatino Linotype"/>
          <w:szCs w:val="24"/>
        </w:rPr>
        <w:t>8</w:t>
      </w:r>
      <w:r w:rsidR="00613F88">
        <w:rPr>
          <w:rFonts w:ascii="Palatino Linotype" w:hAnsi="Palatino Linotype"/>
          <w:szCs w:val="24"/>
        </w:rPr>
        <w:t>,</w:t>
      </w:r>
      <w:r w:rsidR="00635616">
        <w:rPr>
          <w:rFonts w:ascii="Palatino Linotype" w:hAnsi="Palatino Linotype"/>
          <w:szCs w:val="24"/>
        </w:rPr>
        <w:t>942</w:t>
      </w:r>
      <w:r w:rsidR="00A457DB">
        <w:rPr>
          <w:rFonts w:ascii="Palatino Linotype" w:hAnsi="Palatino Linotype"/>
          <w:szCs w:val="24"/>
        </w:rPr>
        <w:t>,000</w:t>
      </w:r>
      <w:r w:rsidR="00BE53EB">
        <w:rPr>
          <w:rFonts w:ascii="Palatino Linotype" w:hAnsi="Palatino Linotype"/>
          <w:szCs w:val="24"/>
        </w:rPr>
        <w:t xml:space="preserve"> for FY 2015-16</w:t>
      </w:r>
      <w:r>
        <w:rPr>
          <w:rFonts w:ascii="Palatino Linotype" w:hAnsi="Palatino Linotype"/>
          <w:szCs w:val="24"/>
        </w:rPr>
        <w:t>.  Details of this proposed budget are set forth in Appendix A.</w:t>
      </w:r>
    </w:p>
    <w:p w14:paraId="70D10355" w14:textId="77777777" w:rsidR="007518D8" w:rsidRPr="00452624" w:rsidRDefault="0084077E" w:rsidP="007518D8">
      <w:pPr>
        <w:pStyle w:val="Heading4"/>
        <w:rPr>
          <w:rFonts w:ascii="Palatino Linotype" w:hAnsi="Palatino Linotype"/>
          <w:sz w:val="24"/>
          <w:szCs w:val="24"/>
        </w:rPr>
      </w:pPr>
      <w:r>
        <w:rPr>
          <w:rFonts w:ascii="Palatino Linotype" w:hAnsi="Palatino Linotype"/>
          <w:sz w:val="24"/>
          <w:szCs w:val="24"/>
        </w:rPr>
        <w:lastRenderedPageBreak/>
        <w:t>CTF Funding</w:t>
      </w:r>
      <w:r w:rsidR="007518D8" w:rsidRPr="00452624">
        <w:rPr>
          <w:rFonts w:ascii="Palatino Linotype" w:hAnsi="Palatino Linotype"/>
          <w:sz w:val="24"/>
          <w:szCs w:val="24"/>
        </w:rPr>
        <w:t xml:space="preserve"> Cap</w:t>
      </w:r>
    </w:p>
    <w:p w14:paraId="1D79D7E8" w14:textId="77777777" w:rsidR="007518D8" w:rsidRDefault="007518D8" w:rsidP="007518D8">
      <w:pPr>
        <w:pStyle w:val="BodyText"/>
        <w:rPr>
          <w:rFonts w:ascii="Palatino Linotype" w:hAnsi="Palatino Linotype"/>
          <w:b/>
          <w:szCs w:val="24"/>
        </w:rPr>
      </w:pPr>
    </w:p>
    <w:p w14:paraId="665C94DA" w14:textId="77777777" w:rsidR="007518D8" w:rsidRDefault="007518D8" w:rsidP="007518D8">
      <w:pPr>
        <w:pStyle w:val="BodyText"/>
        <w:rPr>
          <w:rFonts w:ascii="Palatino Linotype" w:hAnsi="Palatino Linotype"/>
        </w:rPr>
      </w:pPr>
      <w:r>
        <w:rPr>
          <w:rFonts w:ascii="Palatino Linotype" w:hAnsi="Palatino Linotype"/>
        </w:rPr>
        <w:t xml:space="preserve">D. 96-10-066 set the initial annual funding of the CTF at $50 </w:t>
      </w:r>
      <w:r w:rsidR="0084077E">
        <w:rPr>
          <w:rFonts w:ascii="Palatino Linotype" w:hAnsi="Palatino Linotype"/>
        </w:rPr>
        <w:t>million.  The CTF funding</w:t>
      </w:r>
      <w:r>
        <w:rPr>
          <w:rFonts w:ascii="Palatino Linotype" w:hAnsi="Palatino Linotype"/>
        </w:rPr>
        <w:t xml:space="preserve"> cap can, if necessary, be raised through a Commission resolution at any </w:t>
      </w:r>
    </w:p>
    <w:p w14:paraId="08C76A88" w14:textId="77777777" w:rsidR="007518D8" w:rsidRDefault="007518D8" w:rsidP="007518D8">
      <w:pPr>
        <w:pStyle w:val="BodyText"/>
        <w:rPr>
          <w:rFonts w:ascii="Palatino Linotype" w:hAnsi="Palatino Linotype"/>
        </w:rPr>
      </w:pPr>
      <w:r>
        <w:rPr>
          <w:rFonts w:ascii="Palatino Linotype" w:hAnsi="Palatino Linotype"/>
        </w:rPr>
        <w:t>time.</w:t>
      </w:r>
      <w:r>
        <w:rPr>
          <w:rStyle w:val="FootnoteReference"/>
          <w:rFonts w:ascii="Palatino Linotype" w:hAnsi="Palatino Linotype"/>
        </w:rPr>
        <w:footnoteReference w:id="6"/>
      </w:r>
      <w:r>
        <w:rPr>
          <w:rFonts w:ascii="Palatino Linotype" w:hAnsi="Palatino Linotype"/>
        </w:rPr>
        <w:t xml:space="preserve">  On July 12, 2001, the Commission issued Resolution T-16542 to i</w:t>
      </w:r>
      <w:r w:rsidR="0084077E">
        <w:rPr>
          <w:rFonts w:ascii="Palatino Linotype" w:hAnsi="Palatino Linotype"/>
        </w:rPr>
        <w:t>ncrease the fund’s</w:t>
      </w:r>
      <w:r>
        <w:rPr>
          <w:rFonts w:ascii="Palatino Linotype" w:hAnsi="Palatino Linotype"/>
        </w:rPr>
        <w:t xml:space="preserve"> cap from $50 million to $55 million, effective July 1, 2002.  The funding cap increase was based on projections of increased CTF participation, as well as the inclusion of new high speed and high cost services in the program.  </w:t>
      </w:r>
    </w:p>
    <w:p w14:paraId="654E9621" w14:textId="77777777" w:rsidR="007518D8" w:rsidRDefault="007518D8" w:rsidP="007518D8">
      <w:pPr>
        <w:pStyle w:val="BodyText"/>
        <w:rPr>
          <w:rFonts w:ascii="Palatino Linotype" w:hAnsi="Palatino Linotype"/>
        </w:rPr>
      </w:pPr>
    </w:p>
    <w:p w14:paraId="12E26F12" w14:textId="77777777" w:rsidR="00194B47" w:rsidRDefault="007518D8" w:rsidP="007518D8">
      <w:pPr>
        <w:pStyle w:val="BodyText"/>
        <w:rPr>
          <w:rFonts w:ascii="Palatino Linotype" w:hAnsi="Palatino Linotype"/>
        </w:rPr>
      </w:pPr>
      <w:r>
        <w:rPr>
          <w:rFonts w:ascii="Palatino Linotype" w:hAnsi="Palatino Linotype"/>
        </w:rPr>
        <w:t>Subsequently, as a result of program expansion over the years and,</w:t>
      </w:r>
      <w:r w:rsidR="00BE53EB">
        <w:rPr>
          <w:rFonts w:ascii="Palatino Linotype" w:hAnsi="Palatino Linotype"/>
        </w:rPr>
        <w:t xml:space="preserve"> most recently, </w:t>
      </w:r>
      <w:r w:rsidR="00932E55" w:rsidRPr="00932E55">
        <w:rPr>
          <w:rFonts w:ascii="Palatino Linotype" w:hAnsi="Palatino Linotype"/>
        </w:rPr>
        <w:t>to factors such as the education</w:t>
      </w:r>
      <w:r w:rsidR="00932E55">
        <w:rPr>
          <w:rFonts w:ascii="Palatino Linotype" w:hAnsi="Palatino Linotype"/>
        </w:rPr>
        <w:t xml:space="preserve"> initiatives set forth in the Governor’s Budget, and change</w:t>
      </w:r>
      <w:r w:rsidR="00662283">
        <w:rPr>
          <w:rFonts w:ascii="Palatino Linotype" w:hAnsi="Palatino Linotype"/>
        </w:rPr>
        <w:t>s to the Federal E-rate program, the CTF program has grown tremendously</w:t>
      </w:r>
      <w:r w:rsidR="00BE53EB">
        <w:rPr>
          <w:rFonts w:ascii="Palatino Linotype" w:hAnsi="Palatino Linotype"/>
        </w:rPr>
        <w:t xml:space="preserve">.  </w:t>
      </w:r>
    </w:p>
    <w:p w14:paraId="13CBBB6A" w14:textId="77777777" w:rsidR="00194B47" w:rsidRDefault="00194B47" w:rsidP="007518D8">
      <w:pPr>
        <w:pStyle w:val="BodyText"/>
        <w:rPr>
          <w:rFonts w:ascii="Palatino Linotype" w:hAnsi="Palatino Linotype"/>
        </w:rPr>
      </w:pPr>
    </w:p>
    <w:p w14:paraId="09E19BFD" w14:textId="77777777" w:rsidR="007518D8" w:rsidRDefault="00BE53EB" w:rsidP="007518D8">
      <w:pPr>
        <w:pStyle w:val="BodyText"/>
        <w:rPr>
          <w:rFonts w:ascii="Palatino Linotype" w:hAnsi="Palatino Linotype"/>
        </w:rPr>
      </w:pPr>
      <w:r>
        <w:rPr>
          <w:rFonts w:ascii="Palatino Linotype" w:hAnsi="Palatino Linotype"/>
        </w:rPr>
        <w:t xml:space="preserve">On </w:t>
      </w:r>
      <w:proofErr w:type="gramStart"/>
      <w:r>
        <w:rPr>
          <w:rFonts w:ascii="Palatino Linotype" w:hAnsi="Palatino Linotype"/>
        </w:rPr>
        <w:t>October,</w:t>
      </w:r>
      <w:proofErr w:type="gramEnd"/>
      <w:r>
        <w:rPr>
          <w:rFonts w:ascii="Palatino Linotype" w:hAnsi="Palatino Linotype"/>
        </w:rPr>
        <w:t xml:space="preserve"> 03, 2013</w:t>
      </w:r>
      <w:r w:rsidR="007518D8">
        <w:rPr>
          <w:rFonts w:ascii="Palatino Linotype" w:hAnsi="Palatino Linotype"/>
        </w:rPr>
        <w:t>, the Commis</w:t>
      </w:r>
      <w:r>
        <w:rPr>
          <w:rFonts w:ascii="Palatino Linotype" w:hAnsi="Palatino Linotype"/>
        </w:rPr>
        <w:t>sion approved Resolution T-17414</w:t>
      </w:r>
      <w:r w:rsidR="007518D8">
        <w:rPr>
          <w:rFonts w:ascii="Palatino Linotype" w:hAnsi="Palatino Linotype"/>
        </w:rPr>
        <w:t>, which increa</w:t>
      </w:r>
      <w:r>
        <w:rPr>
          <w:rFonts w:ascii="Palatino Linotype" w:hAnsi="Palatino Linotype"/>
        </w:rPr>
        <w:t>sed the funding cap from $92,429,000 to $107,983</w:t>
      </w:r>
      <w:r w:rsidR="007518D8">
        <w:rPr>
          <w:rFonts w:ascii="Palatino Linotype" w:hAnsi="Palatino Linotype"/>
        </w:rPr>
        <w:t>,000.</w:t>
      </w:r>
    </w:p>
    <w:p w14:paraId="2F2A0184" w14:textId="77777777" w:rsidR="007518D8" w:rsidRDefault="007518D8" w:rsidP="007518D8">
      <w:pPr>
        <w:pStyle w:val="BodyText"/>
        <w:rPr>
          <w:rFonts w:ascii="Palatino Linotype" w:hAnsi="Palatino Linotype"/>
          <w:szCs w:val="24"/>
        </w:rPr>
      </w:pPr>
    </w:p>
    <w:p w14:paraId="7988FF2A" w14:textId="77777777" w:rsidR="007518D8" w:rsidRPr="00452624" w:rsidRDefault="007518D8" w:rsidP="007518D8">
      <w:pPr>
        <w:pStyle w:val="Heading4"/>
        <w:rPr>
          <w:rFonts w:ascii="Palatino Linotype" w:hAnsi="Palatino Linotype"/>
          <w:sz w:val="24"/>
          <w:szCs w:val="24"/>
        </w:rPr>
      </w:pPr>
      <w:r w:rsidRPr="00452624">
        <w:rPr>
          <w:rFonts w:ascii="Palatino Linotype" w:hAnsi="Palatino Linotype"/>
          <w:sz w:val="24"/>
          <w:szCs w:val="24"/>
        </w:rPr>
        <w:t xml:space="preserve">Community College Cap </w:t>
      </w:r>
    </w:p>
    <w:p w14:paraId="17B1E2C6" w14:textId="77777777" w:rsidR="007518D8" w:rsidRDefault="007518D8" w:rsidP="007518D8">
      <w:pPr>
        <w:pStyle w:val="BodyText"/>
        <w:rPr>
          <w:rFonts w:ascii="Palatino Linotype" w:hAnsi="Palatino Linotype"/>
          <w:b/>
          <w:szCs w:val="24"/>
        </w:rPr>
      </w:pPr>
    </w:p>
    <w:p w14:paraId="1E558ACB" w14:textId="77777777" w:rsidR="007518D8" w:rsidRDefault="007518D8" w:rsidP="007518D8">
      <w:pPr>
        <w:pStyle w:val="BodyText"/>
        <w:rPr>
          <w:rFonts w:ascii="Palatino Linotype" w:hAnsi="Palatino Linotype"/>
          <w:szCs w:val="24"/>
        </w:rPr>
      </w:pPr>
      <w:r>
        <w:rPr>
          <w:rFonts w:ascii="Palatino Linotype" w:hAnsi="Palatino Linotype"/>
          <w:szCs w:val="24"/>
        </w:rPr>
        <w:t>Upon expanding the CTF to include community colleges, the Commission placed a cap on the total CTF discounts that could be granted to community colleges.</w:t>
      </w:r>
      <w:r>
        <w:rPr>
          <w:rStyle w:val="FootnoteReference"/>
          <w:rFonts w:ascii="Palatino Linotype" w:hAnsi="Palatino Linotype"/>
          <w:szCs w:val="24"/>
        </w:rPr>
        <w:footnoteReference w:id="7"/>
      </w:r>
      <w:r>
        <w:rPr>
          <w:rFonts w:ascii="Palatino Linotype" w:hAnsi="Palatino Linotype"/>
          <w:szCs w:val="24"/>
        </w:rPr>
        <w:t xml:space="preserve">  The purpose of the cap is to ensure that the eligibility of community colleges does not negatively impact the other CTF program participants.</w:t>
      </w:r>
      <w:r>
        <w:rPr>
          <w:rStyle w:val="FootnoteReference"/>
          <w:rFonts w:ascii="Palatino Linotype" w:hAnsi="Palatino Linotype"/>
          <w:szCs w:val="24"/>
        </w:rPr>
        <w:footnoteReference w:id="8"/>
      </w:r>
      <w:r>
        <w:rPr>
          <w:rFonts w:ascii="Palatino Linotype" w:hAnsi="Palatino Linotype"/>
          <w:szCs w:val="24"/>
        </w:rPr>
        <w:t xml:space="preserve">  The Commission originally set the cap at $7,200,000 in 2007;</w:t>
      </w:r>
      <w:r>
        <w:rPr>
          <w:rStyle w:val="FootnoteReference"/>
          <w:rFonts w:ascii="Palatino Linotype" w:hAnsi="Palatino Linotype"/>
          <w:szCs w:val="24"/>
        </w:rPr>
        <w:footnoteReference w:id="9"/>
      </w:r>
      <w:r>
        <w:rPr>
          <w:rFonts w:ascii="Palatino Linotype" w:hAnsi="Palatino Linotype"/>
          <w:szCs w:val="24"/>
        </w:rPr>
        <w:t xml:space="preserve">  the cap is adjusted annually based on the Western Consumer Price Index.</w:t>
      </w:r>
      <w:r>
        <w:rPr>
          <w:rStyle w:val="FootnoteReference"/>
          <w:rFonts w:ascii="Palatino Linotype" w:hAnsi="Palatino Linotype"/>
          <w:szCs w:val="24"/>
        </w:rPr>
        <w:footnoteReference w:id="10"/>
      </w:r>
      <w:r>
        <w:rPr>
          <w:rFonts w:ascii="Palatino Linotype" w:hAnsi="Palatino Linotype"/>
          <w:szCs w:val="24"/>
        </w:rPr>
        <w:t xml:space="preserve"> </w:t>
      </w:r>
    </w:p>
    <w:tbl>
      <w:tblPr>
        <w:tblStyle w:val="TableGrid"/>
        <w:tblpPr w:leftFromText="180" w:rightFromText="180" w:vertAnchor="text" w:horzAnchor="margin" w:tblpXSpec="center" w:tblpY="1013"/>
        <w:tblW w:w="0" w:type="auto"/>
        <w:tblLook w:val="04A0" w:firstRow="1" w:lastRow="0" w:firstColumn="1" w:lastColumn="0" w:noHBand="0" w:noVBand="1"/>
      </w:tblPr>
      <w:tblGrid>
        <w:gridCol w:w="3168"/>
        <w:gridCol w:w="1890"/>
        <w:gridCol w:w="1890"/>
        <w:gridCol w:w="1800"/>
      </w:tblGrid>
      <w:tr w:rsidR="00C858D6" w14:paraId="41025C95" w14:textId="77777777" w:rsidTr="00986F43">
        <w:tc>
          <w:tcPr>
            <w:tcW w:w="3168" w:type="dxa"/>
          </w:tcPr>
          <w:p w14:paraId="52BA3E73" w14:textId="77777777" w:rsidR="00C858D6" w:rsidRDefault="00C858D6" w:rsidP="00C858D6">
            <w:pPr>
              <w:pStyle w:val="Heading4"/>
              <w:tabs>
                <w:tab w:val="left" w:pos="1640"/>
              </w:tabs>
              <w:jc w:val="center"/>
              <w:outlineLvl w:val="3"/>
              <w:rPr>
                <w:rFonts w:ascii="Palatino Linotype" w:hAnsi="Palatino Linotype"/>
                <w:sz w:val="24"/>
                <w:szCs w:val="24"/>
              </w:rPr>
            </w:pPr>
            <w:r>
              <w:rPr>
                <w:rFonts w:ascii="Palatino Linotype" w:hAnsi="Palatino Linotype"/>
                <w:sz w:val="24"/>
                <w:szCs w:val="24"/>
              </w:rPr>
              <w:t>Fiscal Year</w:t>
            </w:r>
          </w:p>
        </w:tc>
        <w:tc>
          <w:tcPr>
            <w:tcW w:w="1890" w:type="dxa"/>
          </w:tcPr>
          <w:p w14:paraId="4DFA9E2A" w14:textId="77777777" w:rsidR="00C858D6" w:rsidRDefault="00C858D6" w:rsidP="00C858D6">
            <w:pPr>
              <w:pStyle w:val="Heading4"/>
              <w:jc w:val="center"/>
              <w:outlineLvl w:val="3"/>
              <w:rPr>
                <w:rFonts w:ascii="Palatino Linotype" w:hAnsi="Palatino Linotype"/>
                <w:sz w:val="24"/>
                <w:szCs w:val="24"/>
              </w:rPr>
            </w:pPr>
            <w:r>
              <w:rPr>
                <w:rFonts w:ascii="Palatino Linotype" w:hAnsi="Palatino Linotype"/>
                <w:sz w:val="24"/>
                <w:szCs w:val="24"/>
              </w:rPr>
              <w:t>2012-13</w:t>
            </w:r>
          </w:p>
        </w:tc>
        <w:tc>
          <w:tcPr>
            <w:tcW w:w="1890" w:type="dxa"/>
          </w:tcPr>
          <w:p w14:paraId="229289AD" w14:textId="77777777" w:rsidR="00C858D6" w:rsidRDefault="00C858D6" w:rsidP="00C858D6">
            <w:pPr>
              <w:pStyle w:val="Heading4"/>
              <w:jc w:val="center"/>
              <w:outlineLvl w:val="3"/>
              <w:rPr>
                <w:rFonts w:ascii="Palatino Linotype" w:hAnsi="Palatino Linotype"/>
                <w:sz w:val="24"/>
                <w:szCs w:val="24"/>
              </w:rPr>
            </w:pPr>
            <w:r>
              <w:rPr>
                <w:rFonts w:ascii="Palatino Linotype" w:hAnsi="Palatino Linotype"/>
                <w:sz w:val="24"/>
                <w:szCs w:val="24"/>
              </w:rPr>
              <w:t>2013-14</w:t>
            </w:r>
          </w:p>
        </w:tc>
        <w:tc>
          <w:tcPr>
            <w:tcW w:w="1800" w:type="dxa"/>
          </w:tcPr>
          <w:p w14:paraId="6AB87235" w14:textId="77777777" w:rsidR="00C858D6" w:rsidRDefault="00C858D6" w:rsidP="00C858D6">
            <w:pPr>
              <w:pStyle w:val="Heading4"/>
              <w:jc w:val="center"/>
              <w:outlineLvl w:val="3"/>
              <w:rPr>
                <w:rFonts w:ascii="Palatino Linotype" w:hAnsi="Palatino Linotype"/>
                <w:sz w:val="24"/>
                <w:szCs w:val="24"/>
              </w:rPr>
            </w:pPr>
            <w:r>
              <w:rPr>
                <w:rFonts w:ascii="Palatino Linotype" w:hAnsi="Palatino Linotype"/>
                <w:sz w:val="24"/>
                <w:szCs w:val="24"/>
              </w:rPr>
              <w:t>2014-15</w:t>
            </w:r>
          </w:p>
        </w:tc>
      </w:tr>
      <w:tr w:rsidR="00C858D6" w14:paraId="643877EB" w14:textId="77777777" w:rsidTr="00986F43">
        <w:tc>
          <w:tcPr>
            <w:tcW w:w="3168" w:type="dxa"/>
          </w:tcPr>
          <w:p w14:paraId="12A6873D" w14:textId="77777777" w:rsidR="00C858D6" w:rsidRDefault="00C858D6" w:rsidP="00C858D6">
            <w:pPr>
              <w:pStyle w:val="Heading4"/>
              <w:jc w:val="center"/>
              <w:outlineLvl w:val="3"/>
              <w:rPr>
                <w:rFonts w:ascii="Palatino Linotype" w:hAnsi="Palatino Linotype"/>
                <w:sz w:val="24"/>
                <w:szCs w:val="24"/>
              </w:rPr>
            </w:pPr>
            <w:r>
              <w:rPr>
                <w:rFonts w:ascii="Palatino Linotype" w:hAnsi="Palatino Linotype"/>
                <w:sz w:val="24"/>
                <w:szCs w:val="24"/>
              </w:rPr>
              <w:t>Community College Cap</w:t>
            </w:r>
          </w:p>
        </w:tc>
        <w:tc>
          <w:tcPr>
            <w:tcW w:w="1890" w:type="dxa"/>
          </w:tcPr>
          <w:p w14:paraId="199EF11A" w14:textId="77777777" w:rsidR="00C858D6" w:rsidRPr="00B94666" w:rsidRDefault="00C858D6" w:rsidP="00C858D6">
            <w:pPr>
              <w:pStyle w:val="Heading4"/>
              <w:jc w:val="center"/>
              <w:outlineLvl w:val="3"/>
              <w:rPr>
                <w:rFonts w:ascii="Palatino Linotype" w:hAnsi="Palatino Linotype"/>
                <w:sz w:val="24"/>
                <w:szCs w:val="24"/>
              </w:rPr>
            </w:pPr>
            <w:r>
              <w:rPr>
                <w:rFonts w:ascii="Palatino Linotype" w:hAnsi="Palatino Linotype"/>
                <w:sz w:val="24"/>
                <w:szCs w:val="24"/>
              </w:rPr>
              <w:t>$10,865,000</w:t>
            </w:r>
          </w:p>
        </w:tc>
        <w:tc>
          <w:tcPr>
            <w:tcW w:w="1890" w:type="dxa"/>
          </w:tcPr>
          <w:p w14:paraId="01941FEE" w14:textId="77777777" w:rsidR="00C858D6" w:rsidRDefault="00C858D6" w:rsidP="00C858D6">
            <w:pPr>
              <w:pStyle w:val="Heading4"/>
              <w:jc w:val="center"/>
              <w:outlineLvl w:val="3"/>
              <w:rPr>
                <w:rFonts w:ascii="Palatino Linotype" w:hAnsi="Palatino Linotype"/>
                <w:sz w:val="24"/>
                <w:szCs w:val="24"/>
              </w:rPr>
            </w:pPr>
            <w:r>
              <w:rPr>
                <w:rFonts w:ascii="Palatino Linotype" w:hAnsi="Palatino Linotype"/>
                <w:sz w:val="24"/>
                <w:szCs w:val="24"/>
              </w:rPr>
              <w:t>$11,167,000</w:t>
            </w:r>
          </w:p>
        </w:tc>
        <w:tc>
          <w:tcPr>
            <w:tcW w:w="1800" w:type="dxa"/>
          </w:tcPr>
          <w:p w14:paraId="2A99AAC1" w14:textId="77777777" w:rsidR="00C858D6" w:rsidRDefault="00C858D6" w:rsidP="00C858D6">
            <w:pPr>
              <w:pStyle w:val="Heading4"/>
              <w:jc w:val="center"/>
              <w:outlineLvl w:val="3"/>
              <w:rPr>
                <w:rFonts w:ascii="Palatino Linotype" w:hAnsi="Palatino Linotype"/>
                <w:sz w:val="24"/>
                <w:szCs w:val="24"/>
              </w:rPr>
            </w:pPr>
            <w:r>
              <w:rPr>
                <w:rFonts w:ascii="Palatino Linotype" w:hAnsi="Palatino Linotype"/>
                <w:sz w:val="24"/>
                <w:szCs w:val="24"/>
              </w:rPr>
              <w:t>$11,379,000</w:t>
            </w:r>
          </w:p>
        </w:tc>
      </w:tr>
    </w:tbl>
    <w:p w14:paraId="655D547D" w14:textId="77777777" w:rsidR="007518D8" w:rsidRDefault="007518D8" w:rsidP="007518D8">
      <w:pPr>
        <w:pStyle w:val="BodyText"/>
        <w:jc w:val="center"/>
        <w:rPr>
          <w:rFonts w:ascii="Palatino Linotype" w:hAnsi="Palatino Linotype"/>
          <w:szCs w:val="24"/>
        </w:rPr>
      </w:pPr>
    </w:p>
    <w:p w14:paraId="487F26F6" w14:textId="77777777" w:rsidR="007518D8" w:rsidRDefault="00E161FA" w:rsidP="007518D8">
      <w:pPr>
        <w:pStyle w:val="BodyText"/>
        <w:jc w:val="center"/>
        <w:rPr>
          <w:rFonts w:ascii="Palatino Linotype" w:hAnsi="Palatino Linotype"/>
          <w:b/>
          <w:szCs w:val="24"/>
        </w:rPr>
      </w:pPr>
      <w:r>
        <w:rPr>
          <w:rFonts w:ascii="Palatino Linotype" w:hAnsi="Palatino Linotype"/>
          <w:szCs w:val="24"/>
        </w:rPr>
        <w:t>Table</w:t>
      </w:r>
      <w:r w:rsidR="00C37A9D">
        <w:rPr>
          <w:rFonts w:ascii="Palatino Linotype" w:hAnsi="Palatino Linotype"/>
          <w:szCs w:val="24"/>
        </w:rPr>
        <w:t xml:space="preserve"> 1</w:t>
      </w:r>
      <w:r>
        <w:rPr>
          <w:rFonts w:ascii="Palatino Linotype" w:hAnsi="Palatino Linotype"/>
          <w:szCs w:val="24"/>
        </w:rPr>
        <w:t>:</w:t>
      </w:r>
      <w:r w:rsidR="007518D8">
        <w:rPr>
          <w:rFonts w:ascii="Palatino Linotype" w:hAnsi="Palatino Linotype"/>
          <w:szCs w:val="24"/>
        </w:rPr>
        <w:t xml:space="preserve"> Cap on the total CTF discounts received by Community Colleges.</w:t>
      </w:r>
    </w:p>
    <w:p w14:paraId="51068641" w14:textId="77777777" w:rsidR="00BE53EB" w:rsidRDefault="00BE53EB" w:rsidP="007518D8">
      <w:pPr>
        <w:pStyle w:val="Heading4"/>
        <w:rPr>
          <w:rFonts w:ascii="Palatino Linotype" w:hAnsi="Palatino Linotype"/>
          <w:sz w:val="24"/>
          <w:szCs w:val="24"/>
        </w:rPr>
      </w:pPr>
    </w:p>
    <w:p w14:paraId="0259521F" w14:textId="77777777" w:rsidR="00986F43" w:rsidRPr="00986F43" w:rsidRDefault="00986F43" w:rsidP="00986F43"/>
    <w:p w14:paraId="37B00EF5" w14:textId="77777777" w:rsidR="001237BF" w:rsidRDefault="001237BF" w:rsidP="007518D8">
      <w:pPr>
        <w:pStyle w:val="Heading4"/>
        <w:rPr>
          <w:rFonts w:ascii="Palatino Linotype" w:hAnsi="Palatino Linotype"/>
          <w:sz w:val="24"/>
          <w:szCs w:val="24"/>
        </w:rPr>
      </w:pPr>
    </w:p>
    <w:p w14:paraId="783AA079" w14:textId="77777777" w:rsidR="001237BF" w:rsidRDefault="001237BF" w:rsidP="007518D8">
      <w:pPr>
        <w:pStyle w:val="Heading4"/>
        <w:rPr>
          <w:rFonts w:ascii="Palatino Linotype" w:hAnsi="Palatino Linotype"/>
          <w:sz w:val="24"/>
          <w:szCs w:val="24"/>
        </w:rPr>
      </w:pPr>
    </w:p>
    <w:p w14:paraId="7C2B4022" w14:textId="77777777" w:rsidR="001237BF" w:rsidRDefault="001237BF" w:rsidP="001237BF"/>
    <w:p w14:paraId="2248540F" w14:textId="77777777" w:rsidR="00C37A9D" w:rsidRDefault="00C37A9D" w:rsidP="001237BF"/>
    <w:p w14:paraId="4BCD9918" w14:textId="77777777" w:rsidR="001237BF" w:rsidRPr="001237BF" w:rsidRDefault="001237BF" w:rsidP="001237BF"/>
    <w:p w14:paraId="2976F8CC" w14:textId="77777777" w:rsidR="007518D8" w:rsidRPr="00C37A9D" w:rsidRDefault="001237BF" w:rsidP="00C37A9D">
      <w:pPr>
        <w:tabs>
          <w:tab w:val="right" w:pos="10080"/>
        </w:tabs>
        <w:rPr>
          <w:rFonts w:ascii="Palatino Linotype" w:hAnsi="Palatino Linotype"/>
          <w:b/>
          <w:u w:val="single"/>
        </w:rPr>
      </w:pPr>
      <w:r w:rsidRPr="00C37A9D">
        <w:rPr>
          <w:rFonts w:ascii="Palatino Linotype" w:hAnsi="Palatino Linotype"/>
          <w:b/>
          <w:u w:val="single"/>
        </w:rPr>
        <w:lastRenderedPageBreak/>
        <w:t>NOTICE</w:t>
      </w:r>
      <w:r w:rsidR="007518D8" w:rsidRPr="00C37A9D">
        <w:rPr>
          <w:rFonts w:ascii="Palatino Linotype" w:hAnsi="Palatino Linotype"/>
          <w:b/>
          <w:u w:val="single"/>
        </w:rPr>
        <w:t>/</w:t>
      </w:r>
      <w:r w:rsidRPr="00C37A9D">
        <w:rPr>
          <w:rFonts w:ascii="Palatino Linotype" w:hAnsi="Palatino Linotype"/>
          <w:b/>
          <w:u w:val="single"/>
        </w:rPr>
        <w:t>PROTEST</w:t>
      </w:r>
      <w:r w:rsidR="00C37A9D" w:rsidRPr="00C37A9D">
        <w:rPr>
          <w:rFonts w:ascii="Palatino Linotype" w:hAnsi="Palatino Linotype"/>
          <w:b/>
          <w:u w:val="single"/>
        </w:rPr>
        <w:t>S</w:t>
      </w:r>
    </w:p>
    <w:p w14:paraId="54338419" w14:textId="77777777" w:rsidR="007518D8" w:rsidRDefault="007518D8" w:rsidP="007518D8">
      <w:pPr>
        <w:rPr>
          <w:rFonts w:ascii="Palatino Linotype" w:hAnsi="Palatino Linotype"/>
        </w:rPr>
      </w:pPr>
    </w:p>
    <w:p w14:paraId="575F92B0" w14:textId="77777777" w:rsidR="007518D8" w:rsidRDefault="007518D8" w:rsidP="0048230B">
      <w:pPr>
        <w:pStyle w:val="BodyText"/>
        <w:overflowPunct/>
        <w:autoSpaceDE/>
        <w:autoSpaceDN/>
        <w:adjustRightInd/>
        <w:textAlignment w:val="auto"/>
        <w:rPr>
          <w:rFonts w:ascii="Palatino Linotype" w:hAnsi="Palatino Linotype"/>
          <w:szCs w:val="24"/>
        </w:rPr>
      </w:pPr>
      <w:r>
        <w:rPr>
          <w:rFonts w:ascii="Palatino Linotype" w:hAnsi="Palatino Linotype"/>
          <w:szCs w:val="24"/>
        </w:rPr>
        <w:t xml:space="preserve">Notice of the </w:t>
      </w:r>
      <w:r>
        <w:rPr>
          <w:rFonts w:ascii="Palatino Linotype" w:hAnsi="Palatino Linotype"/>
        </w:rPr>
        <w:t xml:space="preserve">CTF-AC’s </w:t>
      </w:r>
      <w:r>
        <w:rPr>
          <w:rFonts w:ascii="Palatino Linotype" w:hAnsi="Palatino Linotype"/>
          <w:szCs w:val="24"/>
        </w:rPr>
        <w:t>proposed budget for FY 2015-16 was published in the Com</w:t>
      </w:r>
      <w:r w:rsidR="00932E55">
        <w:rPr>
          <w:rFonts w:ascii="Palatino Linotype" w:hAnsi="Palatino Linotype"/>
          <w:szCs w:val="24"/>
        </w:rPr>
        <w:t xml:space="preserve">mission’s Daily Calendar on </w:t>
      </w:r>
      <w:r w:rsidR="00D21A36">
        <w:rPr>
          <w:rFonts w:ascii="Palatino Linotype" w:hAnsi="Palatino Linotype"/>
          <w:szCs w:val="24"/>
        </w:rPr>
        <w:t xml:space="preserve">October </w:t>
      </w:r>
      <w:r w:rsidR="002B5FD9">
        <w:rPr>
          <w:rFonts w:ascii="Palatino Linotype" w:hAnsi="Palatino Linotype"/>
          <w:szCs w:val="24"/>
        </w:rPr>
        <w:t>03</w:t>
      </w:r>
      <w:r w:rsidR="00DA11E2">
        <w:rPr>
          <w:rFonts w:ascii="Palatino Linotype" w:hAnsi="Palatino Linotype"/>
          <w:szCs w:val="24"/>
        </w:rPr>
        <w:t>,</w:t>
      </w:r>
      <w:r>
        <w:rPr>
          <w:rFonts w:ascii="Palatino Linotype" w:hAnsi="Palatino Linotype"/>
          <w:szCs w:val="24"/>
        </w:rPr>
        <w:t xml:space="preserve"> 2014.  </w:t>
      </w:r>
      <w:r w:rsidR="004845C0">
        <w:rPr>
          <w:rFonts w:ascii="Palatino Linotype" w:hAnsi="Palatino Linotype"/>
          <w:szCs w:val="24"/>
        </w:rPr>
        <w:t>No parties submitted protests.</w:t>
      </w:r>
    </w:p>
    <w:p w14:paraId="088B6174" w14:textId="77777777" w:rsidR="0048230B" w:rsidRDefault="0048230B" w:rsidP="0048230B">
      <w:pPr>
        <w:pStyle w:val="BodyText"/>
        <w:overflowPunct/>
        <w:autoSpaceDE/>
        <w:autoSpaceDN/>
        <w:adjustRightInd/>
        <w:textAlignment w:val="auto"/>
        <w:rPr>
          <w:rFonts w:ascii="Palatino Linotype" w:hAnsi="Palatino Linotype"/>
          <w:szCs w:val="24"/>
        </w:rPr>
      </w:pPr>
    </w:p>
    <w:p w14:paraId="662647C0" w14:textId="77777777" w:rsidR="0048230B" w:rsidRPr="00825ECD" w:rsidRDefault="0048230B" w:rsidP="0048230B">
      <w:pPr>
        <w:tabs>
          <w:tab w:val="right" w:pos="10080"/>
        </w:tabs>
        <w:rPr>
          <w:rFonts w:ascii="Palatino Linotype" w:hAnsi="Palatino Linotype"/>
        </w:rPr>
      </w:pPr>
    </w:p>
    <w:p w14:paraId="659B7BD2" w14:textId="77777777" w:rsidR="0048230B" w:rsidRPr="001237BF" w:rsidRDefault="0048230B" w:rsidP="001237BF">
      <w:pPr>
        <w:tabs>
          <w:tab w:val="right" w:pos="10080"/>
        </w:tabs>
        <w:rPr>
          <w:rFonts w:ascii="Palatino Linotype" w:hAnsi="Palatino Linotype"/>
          <w:b/>
          <w:u w:val="single"/>
        </w:rPr>
      </w:pPr>
      <w:r w:rsidRPr="001237BF">
        <w:rPr>
          <w:rFonts w:ascii="Palatino Linotype" w:hAnsi="Palatino Linotype"/>
          <w:b/>
          <w:u w:val="single"/>
        </w:rPr>
        <w:t>DISCUSSION</w:t>
      </w:r>
    </w:p>
    <w:p w14:paraId="18EA16C9" w14:textId="77777777" w:rsidR="004E456B" w:rsidRPr="00CD6108" w:rsidRDefault="004E456B" w:rsidP="0048230B">
      <w:pPr>
        <w:tabs>
          <w:tab w:val="right" w:pos="10080"/>
        </w:tabs>
        <w:jc w:val="both"/>
        <w:rPr>
          <w:rFonts w:ascii="Palatino Linotype" w:hAnsi="Palatino Linotype"/>
          <w:b/>
        </w:rPr>
      </w:pPr>
    </w:p>
    <w:p w14:paraId="6778DB48" w14:textId="77777777" w:rsidR="0048230B" w:rsidRPr="00932E55" w:rsidRDefault="00932E55" w:rsidP="0048230B">
      <w:pPr>
        <w:tabs>
          <w:tab w:val="right" w:pos="10080"/>
        </w:tabs>
        <w:jc w:val="both"/>
        <w:rPr>
          <w:rFonts w:ascii="Palatino Linotype" w:hAnsi="Palatino Linotype"/>
          <w:i/>
          <w:u w:val="single"/>
        </w:rPr>
      </w:pPr>
      <w:r w:rsidRPr="00932E55">
        <w:rPr>
          <w:rFonts w:ascii="Palatino Linotype" w:hAnsi="Palatino Linotype"/>
          <w:i/>
          <w:u w:val="single"/>
        </w:rPr>
        <w:t>Department of Finance (DOF) Audit</w:t>
      </w:r>
    </w:p>
    <w:p w14:paraId="22815730" w14:textId="77777777" w:rsidR="004E456B" w:rsidRPr="004E456B" w:rsidRDefault="004E456B" w:rsidP="004E456B">
      <w:pPr>
        <w:tabs>
          <w:tab w:val="right" w:pos="10080"/>
        </w:tabs>
        <w:rPr>
          <w:rFonts w:ascii="Palatino Linotype" w:hAnsi="Palatino Linotype"/>
        </w:rPr>
      </w:pPr>
      <w:r w:rsidRPr="004E456B">
        <w:rPr>
          <w:rFonts w:ascii="Palatino Linotype" w:hAnsi="Palatino Linotype"/>
        </w:rPr>
        <w:t>In 2012, auditors from the Department of Finance (DOF) conducted a budget process performance audit of six public purpose programs administered by the Communications Division (CD), including the CTF.  The DOF’s audit report contained several recommendations</w:t>
      </w:r>
      <w:r w:rsidR="002001F4">
        <w:rPr>
          <w:rFonts w:ascii="Palatino Linotype" w:hAnsi="Palatino Linotype"/>
        </w:rPr>
        <w:t xml:space="preserve"> and the Commission has incorporated</w:t>
      </w:r>
      <w:r w:rsidRPr="004E456B">
        <w:rPr>
          <w:rFonts w:ascii="Palatino Linotype" w:hAnsi="Palatino Linotype"/>
        </w:rPr>
        <w:t xml:space="preserve"> those recommendat</w:t>
      </w:r>
      <w:r w:rsidR="002001F4">
        <w:rPr>
          <w:rFonts w:ascii="Palatino Linotype" w:hAnsi="Palatino Linotype"/>
        </w:rPr>
        <w:t>ions in the preparation of the budget</w:t>
      </w:r>
      <w:r w:rsidRPr="004E456B">
        <w:rPr>
          <w:rFonts w:ascii="Palatino Linotype" w:hAnsi="Palatino Linotype"/>
        </w:rPr>
        <w:t>.</w:t>
      </w:r>
    </w:p>
    <w:p w14:paraId="56FA93D8" w14:textId="77777777" w:rsidR="00932E55" w:rsidRDefault="00932E55" w:rsidP="004E456B">
      <w:pPr>
        <w:tabs>
          <w:tab w:val="right" w:pos="10080"/>
        </w:tabs>
        <w:rPr>
          <w:rFonts w:ascii="Palatino Linotype" w:hAnsi="Palatino Linotype"/>
        </w:rPr>
      </w:pPr>
    </w:p>
    <w:p w14:paraId="6606A347" w14:textId="77777777" w:rsidR="00112CA7" w:rsidRDefault="00112CA7" w:rsidP="004E456B">
      <w:pPr>
        <w:tabs>
          <w:tab w:val="right" w:pos="10080"/>
        </w:tabs>
        <w:rPr>
          <w:rFonts w:ascii="Palatino Linotype" w:hAnsi="Palatino Linotype"/>
          <w:i/>
          <w:u w:val="single"/>
        </w:rPr>
      </w:pPr>
      <w:r w:rsidRPr="00112CA7">
        <w:rPr>
          <w:rFonts w:ascii="Palatino Linotype" w:hAnsi="Palatino Linotype"/>
          <w:i/>
          <w:u w:val="single"/>
        </w:rPr>
        <w:t>State Operations</w:t>
      </w:r>
    </w:p>
    <w:p w14:paraId="27B2C485" w14:textId="77777777" w:rsidR="001A4041" w:rsidRDefault="00112CA7" w:rsidP="00EA7077">
      <w:pPr>
        <w:tabs>
          <w:tab w:val="right" w:pos="10080"/>
        </w:tabs>
        <w:rPr>
          <w:rFonts w:ascii="Palatino Linotype" w:hAnsi="Palatino Linotype"/>
        </w:rPr>
      </w:pPr>
      <w:r>
        <w:rPr>
          <w:rFonts w:ascii="Palatino Linotype" w:hAnsi="Palatino Linotype"/>
        </w:rPr>
        <w:t xml:space="preserve">State operation expenses include categories such as: CPUC staff costs, </w:t>
      </w:r>
      <w:r w:rsidR="00BB1482">
        <w:rPr>
          <w:rFonts w:ascii="Palatino Linotype" w:hAnsi="Palatino Linotype"/>
        </w:rPr>
        <w:t>staff travel, the administrative c</w:t>
      </w:r>
      <w:r>
        <w:rPr>
          <w:rFonts w:ascii="Palatino Linotype" w:hAnsi="Palatino Linotype"/>
        </w:rPr>
        <w:t>ommittee per diem and travel, marketing and outreach, audits, data processing automation, interagency</w:t>
      </w:r>
      <w:r w:rsidR="00BB1482">
        <w:rPr>
          <w:rFonts w:ascii="Palatino Linotype" w:hAnsi="Palatino Linotype"/>
        </w:rPr>
        <w:t xml:space="preserve"> and cost allocation expenses.  The forecast developed for FY 2015-16 resembles the anticipated level of expense forecast for FY 2014-15</w:t>
      </w:r>
      <w:r w:rsidR="000747A3">
        <w:rPr>
          <w:rFonts w:ascii="Palatino Linotype" w:hAnsi="Palatino Linotype"/>
        </w:rPr>
        <w:t xml:space="preserve">, </w:t>
      </w:r>
      <w:r w:rsidR="00BB1482">
        <w:rPr>
          <w:rFonts w:ascii="Palatino Linotype" w:hAnsi="Palatino Linotype"/>
        </w:rPr>
        <w:t>therefore</w:t>
      </w:r>
      <w:r w:rsidR="000747A3">
        <w:rPr>
          <w:rFonts w:ascii="Palatino Linotype" w:hAnsi="Palatino Linotype"/>
        </w:rPr>
        <w:t xml:space="preserve"> CD determined</w:t>
      </w:r>
      <w:r w:rsidR="00BB1482">
        <w:rPr>
          <w:rFonts w:ascii="Palatino Linotype" w:hAnsi="Palatino Linotype"/>
        </w:rPr>
        <w:t xml:space="preserve"> it is reasonable to use the FY 2014-15 adopted expense level for FY 2015-16.</w:t>
      </w:r>
    </w:p>
    <w:p w14:paraId="1029E11C" w14:textId="77777777" w:rsidR="001A4041" w:rsidRPr="001A4041" w:rsidRDefault="001A4041" w:rsidP="001A4041">
      <w:pPr>
        <w:tabs>
          <w:tab w:val="right" w:pos="10080"/>
        </w:tabs>
        <w:jc w:val="both"/>
        <w:rPr>
          <w:rFonts w:ascii="Palatino Linotype" w:hAnsi="Palatino Linotype"/>
        </w:rPr>
      </w:pPr>
    </w:p>
    <w:p w14:paraId="31ADAAE4" w14:textId="77777777" w:rsidR="001A4041" w:rsidRPr="00430B56" w:rsidRDefault="001A4041" w:rsidP="00351398">
      <w:pPr>
        <w:tabs>
          <w:tab w:val="right" w:pos="10080"/>
        </w:tabs>
        <w:rPr>
          <w:rFonts w:ascii="Palatino Linotype" w:hAnsi="Palatino Linotype"/>
        </w:rPr>
      </w:pPr>
      <w:r w:rsidRPr="00F507F8">
        <w:rPr>
          <w:rFonts w:ascii="Palatino Linotype" w:hAnsi="Palatino Linotype"/>
        </w:rPr>
        <w:t xml:space="preserve">Beginning July 1, 2014 CPUC implemented a new costs allocation plan that directs how CPUC’s administrative charges will be allocated to the sixteen special funds the agency administers, as well as </w:t>
      </w:r>
      <w:r w:rsidR="0093198E" w:rsidRPr="00F507F8">
        <w:rPr>
          <w:rFonts w:ascii="Palatino Linotype" w:hAnsi="Palatino Linotype"/>
        </w:rPr>
        <w:t>expenses</w:t>
      </w:r>
      <w:r w:rsidR="00F507F8">
        <w:rPr>
          <w:rFonts w:ascii="Palatino Linotype" w:hAnsi="Palatino Linotype"/>
        </w:rPr>
        <w:t xml:space="preserve"> </w:t>
      </w:r>
      <w:r w:rsidRPr="00F507F8">
        <w:rPr>
          <w:rFonts w:ascii="Palatino Linotype" w:hAnsi="Palatino Linotype"/>
        </w:rPr>
        <w:t xml:space="preserve">charged to grants. Cost allocation expenditures (sometimes referred to as indirect charges) include Administrative Services salaries and operating expenses (CPUC Accounting and Budget Offices, Business Services, Contracts, HR and IT), facilities operations (rent, security and utility expenses), as well as Executive Division, Administrative Law Judge, and a portion of shared, legal expenses. Using the new cost allocation plan methodology administrative expenses are allocated to funds primarily on a Personnel Year (PY) basis; funds that support more staff proportionally </w:t>
      </w:r>
      <w:r w:rsidR="0093198E" w:rsidRPr="00F507F8">
        <w:rPr>
          <w:rFonts w:ascii="Palatino Linotype" w:hAnsi="Palatino Linotype"/>
        </w:rPr>
        <w:t xml:space="preserve">have </w:t>
      </w:r>
      <w:r w:rsidRPr="00F507F8">
        <w:rPr>
          <w:rFonts w:ascii="Palatino Linotype" w:hAnsi="Palatino Linotype"/>
        </w:rPr>
        <w:t xml:space="preserve">more CPUC </w:t>
      </w:r>
      <w:r w:rsidR="0093198E" w:rsidRPr="00F507F8">
        <w:rPr>
          <w:rFonts w:ascii="Palatino Linotype" w:hAnsi="Palatino Linotype"/>
        </w:rPr>
        <w:t>indirect charges</w:t>
      </w:r>
      <w:r w:rsidRPr="00F507F8">
        <w:rPr>
          <w:rFonts w:ascii="Palatino Linotype" w:hAnsi="Palatino Linotype"/>
        </w:rPr>
        <w:t xml:space="preserve">. CPUC initiated development of a new cost allocation plan as a corrective action in response to a 2013 Department of Finance audit that highlighted the agencies lack of an updated, comprehensive, and methodologically consistent plan for allocating </w:t>
      </w:r>
      <w:r w:rsidR="0093198E" w:rsidRPr="00F507F8">
        <w:rPr>
          <w:rFonts w:ascii="Palatino Linotype" w:hAnsi="Palatino Linotype"/>
        </w:rPr>
        <w:t>indirect charges</w:t>
      </w:r>
      <w:r w:rsidRPr="00F507F8">
        <w:rPr>
          <w:rFonts w:ascii="Palatino Linotype" w:hAnsi="Palatino Linotype"/>
        </w:rPr>
        <w:t xml:space="preserve"> to special funds and grants. As a result of implementing the new plan, some CPUC special funds received higher proportions of costs allocation than had been allocated in previous years due to the changes in methodology related to defining administrative cost “pools” and PY </w:t>
      </w:r>
      <w:r w:rsidRPr="00F507F8">
        <w:rPr>
          <w:rFonts w:ascii="Palatino Linotype" w:hAnsi="Palatino Linotype"/>
        </w:rPr>
        <w:lastRenderedPageBreak/>
        <w:t xml:space="preserve">analysis. </w:t>
      </w:r>
      <w:r w:rsidR="0093198E" w:rsidRPr="00F507F8">
        <w:rPr>
          <w:rFonts w:ascii="Palatino Linotype" w:hAnsi="Palatino Linotype"/>
        </w:rPr>
        <w:t>Indirect charges</w:t>
      </w:r>
      <w:r w:rsidRPr="00F507F8">
        <w:rPr>
          <w:rFonts w:ascii="Palatino Linotype" w:hAnsi="Palatino Linotype"/>
        </w:rPr>
        <w:t xml:space="preserve"> will be built in as line-items into all funds as part of FY 2015-16 budget proposals.   </w:t>
      </w:r>
    </w:p>
    <w:p w14:paraId="6E81BDC0" w14:textId="77777777" w:rsidR="00BB1482" w:rsidRDefault="00BB1482" w:rsidP="004E456B">
      <w:pPr>
        <w:tabs>
          <w:tab w:val="right" w:pos="10080"/>
        </w:tabs>
        <w:rPr>
          <w:rFonts w:ascii="Palatino Linotype" w:hAnsi="Palatino Linotype"/>
        </w:rPr>
      </w:pPr>
    </w:p>
    <w:p w14:paraId="02594F30" w14:textId="77777777" w:rsidR="00CD6108" w:rsidRDefault="00BB1482" w:rsidP="00BB1482">
      <w:pPr>
        <w:tabs>
          <w:tab w:val="right" w:pos="10080"/>
        </w:tabs>
        <w:rPr>
          <w:rFonts w:ascii="Palatino Linotype" w:hAnsi="Palatino Linotype"/>
          <w:i/>
          <w:u w:val="single"/>
        </w:rPr>
      </w:pPr>
      <w:r w:rsidRPr="00BB1482">
        <w:rPr>
          <w:rFonts w:ascii="Palatino Linotype" w:hAnsi="Palatino Linotype"/>
          <w:i/>
          <w:u w:val="single"/>
        </w:rPr>
        <w:t>Local Assistance</w:t>
      </w:r>
    </w:p>
    <w:p w14:paraId="373F8F39" w14:textId="77777777" w:rsidR="00932E55" w:rsidRDefault="00932E55" w:rsidP="00351398">
      <w:pPr>
        <w:tabs>
          <w:tab w:val="right" w:pos="10080"/>
        </w:tabs>
        <w:rPr>
          <w:rFonts w:ascii="Palatino Linotype" w:hAnsi="Palatino Linotype"/>
        </w:rPr>
      </w:pPr>
      <w:r w:rsidRPr="00932E55">
        <w:rPr>
          <w:rFonts w:ascii="Palatino Linotype" w:hAnsi="Palatino Linotype"/>
        </w:rPr>
        <w:t xml:space="preserve">The majority of </w:t>
      </w:r>
      <w:r>
        <w:rPr>
          <w:rFonts w:ascii="Palatino Linotype" w:hAnsi="Palatino Linotype"/>
        </w:rPr>
        <w:t>the CTF budge</w:t>
      </w:r>
      <w:r w:rsidR="00662283">
        <w:rPr>
          <w:rFonts w:ascii="Palatino Linotype" w:hAnsi="Palatino Linotype"/>
        </w:rPr>
        <w:t>t is comprised of carrier claim</w:t>
      </w:r>
      <w:r>
        <w:rPr>
          <w:rFonts w:ascii="Palatino Linotype" w:hAnsi="Palatino Linotype"/>
        </w:rPr>
        <w:t xml:space="preserve"> payment</w:t>
      </w:r>
      <w:r w:rsidR="00662283">
        <w:rPr>
          <w:rFonts w:ascii="Palatino Linotype" w:hAnsi="Palatino Linotype"/>
        </w:rPr>
        <w:t>s</w:t>
      </w:r>
      <w:r>
        <w:rPr>
          <w:rFonts w:ascii="Palatino Linotype" w:hAnsi="Palatino Linotype"/>
        </w:rPr>
        <w:t xml:space="preserve">.  The Commission reimburses carriers for discounts given to CTF participants.  The Communications Division’s (CD) carrier claims projections consider </w:t>
      </w:r>
      <w:proofErr w:type="gramStart"/>
      <w:r>
        <w:rPr>
          <w:rFonts w:ascii="Palatino Linotype" w:hAnsi="Palatino Linotype"/>
        </w:rPr>
        <w:t>a number of</w:t>
      </w:r>
      <w:proofErr w:type="gramEnd"/>
      <w:r>
        <w:rPr>
          <w:rFonts w:ascii="Palatino Linotype" w:hAnsi="Palatino Linotype"/>
        </w:rPr>
        <w:t xml:space="preserve"> factors; including carriers’ claim forecasts, historical claims data and external factors such as the Gov</w:t>
      </w:r>
      <w:r w:rsidR="00291CD5">
        <w:rPr>
          <w:rFonts w:ascii="Palatino Linotype" w:hAnsi="Palatino Linotype"/>
        </w:rPr>
        <w:t>ernor’s Education initiatives and the Federal E-rate program.</w:t>
      </w:r>
    </w:p>
    <w:p w14:paraId="1C664CB0" w14:textId="77777777" w:rsidR="00AC0402" w:rsidRDefault="00AC0402" w:rsidP="00351398">
      <w:pPr>
        <w:tabs>
          <w:tab w:val="right" w:pos="10080"/>
        </w:tabs>
        <w:rPr>
          <w:rFonts w:ascii="Palatino Linotype" w:hAnsi="Palatino Linotype"/>
        </w:rPr>
      </w:pPr>
    </w:p>
    <w:p w14:paraId="1B98B14A" w14:textId="77777777" w:rsidR="00EF7877" w:rsidRDefault="00EF7877" w:rsidP="00351398">
      <w:pPr>
        <w:tabs>
          <w:tab w:val="right" w:pos="10080"/>
        </w:tabs>
        <w:rPr>
          <w:rFonts w:ascii="Palatino Linotype" w:hAnsi="Palatino Linotype"/>
        </w:rPr>
      </w:pPr>
      <w:r>
        <w:rPr>
          <w:rFonts w:ascii="Palatino Linotype" w:hAnsi="Palatino Linotype"/>
        </w:rPr>
        <w:t>For the</w:t>
      </w:r>
      <w:r w:rsidRPr="00EF7877">
        <w:rPr>
          <w:rFonts w:ascii="Palatino Linotype" w:hAnsi="Palatino Linotype"/>
        </w:rPr>
        <w:t xml:space="preserve"> FY</w:t>
      </w:r>
      <w:r>
        <w:rPr>
          <w:rFonts w:ascii="Palatino Linotype" w:hAnsi="Palatino Linotype"/>
        </w:rPr>
        <w:t xml:space="preserve"> 20</w:t>
      </w:r>
      <w:r w:rsidR="00C13CA9">
        <w:rPr>
          <w:rFonts w:ascii="Palatino Linotype" w:hAnsi="Palatino Linotype"/>
        </w:rPr>
        <w:t>15-16 budget, CD is proposing</w:t>
      </w:r>
      <w:r w:rsidRPr="00EF7877">
        <w:rPr>
          <w:rFonts w:ascii="Palatino Linotype" w:hAnsi="Palatino Linotype"/>
        </w:rPr>
        <w:t xml:space="preserve"> an augmentation of $40.460</w:t>
      </w:r>
      <w:r>
        <w:rPr>
          <w:rFonts w:ascii="Palatino Linotype" w:hAnsi="Palatino Linotype"/>
        </w:rPr>
        <w:t xml:space="preserve"> million to the </w:t>
      </w:r>
      <w:r w:rsidRPr="00EF7877">
        <w:rPr>
          <w:rFonts w:ascii="Palatino Linotype" w:hAnsi="Palatino Linotype"/>
        </w:rPr>
        <w:t>FY</w:t>
      </w:r>
      <w:r>
        <w:rPr>
          <w:rFonts w:ascii="Palatino Linotype" w:hAnsi="Palatino Linotype"/>
        </w:rPr>
        <w:t>20</w:t>
      </w:r>
      <w:r w:rsidRPr="00EF7877">
        <w:rPr>
          <w:rFonts w:ascii="Palatino Linotype" w:hAnsi="Palatino Linotype"/>
        </w:rPr>
        <w:t xml:space="preserve">14-15 Local Assistance </w:t>
      </w:r>
      <w:r w:rsidR="00291CD5">
        <w:rPr>
          <w:rFonts w:ascii="Palatino Linotype" w:hAnsi="Palatino Linotype"/>
        </w:rPr>
        <w:t>budget of $104.605 million.</w:t>
      </w:r>
      <w:r w:rsidR="007A5191">
        <w:rPr>
          <w:rFonts w:ascii="Palatino Linotype" w:hAnsi="Palatino Linotype"/>
        </w:rPr>
        <w:t xml:space="preserve"> </w:t>
      </w:r>
      <w:r w:rsidR="00291CD5">
        <w:rPr>
          <w:rFonts w:ascii="Palatino Linotype" w:hAnsi="Palatino Linotype"/>
        </w:rPr>
        <w:t xml:space="preserve"> The main driver of this augmentation is</w:t>
      </w:r>
      <w:r w:rsidRPr="00EF7877">
        <w:rPr>
          <w:rFonts w:ascii="Palatino Linotype" w:hAnsi="Palatino Linotype"/>
        </w:rPr>
        <w:t xml:space="preserve"> in response to external factors such as the education initiatives</w:t>
      </w:r>
      <w:r w:rsidR="00FA17F1">
        <w:rPr>
          <w:rFonts w:ascii="Palatino Linotype" w:hAnsi="Palatino Linotype"/>
        </w:rPr>
        <w:t xml:space="preserve"> set forth in the Governor’s FY 201</w:t>
      </w:r>
      <w:r w:rsidRPr="00EF7877">
        <w:rPr>
          <w:rFonts w:ascii="Palatino Linotype" w:hAnsi="Palatino Linotype"/>
        </w:rPr>
        <w:t>4-15 B</w:t>
      </w:r>
      <w:r>
        <w:rPr>
          <w:rFonts w:ascii="Palatino Linotype" w:hAnsi="Palatino Linotype"/>
        </w:rPr>
        <w:t xml:space="preserve">udget and changes in </w:t>
      </w:r>
      <w:r w:rsidRPr="00EF7877">
        <w:rPr>
          <w:rFonts w:ascii="Palatino Linotype" w:hAnsi="Palatino Linotype"/>
        </w:rPr>
        <w:t>the E-rate program, the federal schools and libraries counterpart to the CTF program, as well as for general program growth.</w:t>
      </w:r>
    </w:p>
    <w:p w14:paraId="4BD623F2" w14:textId="77777777" w:rsidR="00291CD5" w:rsidRPr="00EF7877" w:rsidRDefault="00291CD5" w:rsidP="00351398">
      <w:pPr>
        <w:tabs>
          <w:tab w:val="right" w:pos="10080"/>
        </w:tabs>
        <w:rPr>
          <w:rFonts w:ascii="Palatino Linotype" w:hAnsi="Palatino Linotype"/>
        </w:rPr>
      </w:pPr>
    </w:p>
    <w:p w14:paraId="712DE05D" w14:textId="77777777" w:rsidR="00EF7877" w:rsidRPr="00EF7877" w:rsidRDefault="00EF7877" w:rsidP="00351398">
      <w:pPr>
        <w:tabs>
          <w:tab w:val="right" w:pos="10080"/>
        </w:tabs>
        <w:rPr>
          <w:rFonts w:ascii="Palatino Linotype" w:hAnsi="Palatino Linotype"/>
        </w:rPr>
      </w:pPr>
      <w:r w:rsidRPr="00EF7877">
        <w:rPr>
          <w:rFonts w:ascii="Palatino Linotype" w:hAnsi="Palatino Linotype"/>
        </w:rPr>
        <w:t>The Governor’s FY</w:t>
      </w:r>
      <w:r>
        <w:rPr>
          <w:rFonts w:ascii="Palatino Linotype" w:hAnsi="Palatino Linotype"/>
        </w:rPr>
        <w:t xml:space="preserve"> 20</w:t>
      </w:r>
      <w:r w:rsidRPr="00EF7877">
        <w:rPr>
          <w:rFonts w:ascii="Palatino Linotype" w:hAnsi="Palatino Linotype"/>
        </w:rPr>
        <w:t>14-15 Budget</w:t>
      </w:r>
      <w:r w:rsidR="00FA17F1">
        <w:rPr>
          <w:rFonts w:ascii="Palatino Linotype" w:hAnsi="Palatino Linotype"/>
        </w:rPr>
        <w:t xml:space="preserve"> authorized improvements in internet a</w:t>
      </w:r>
      <w:r w:rsidRPr="00EF7877">
        <w:rPr>
          <w:rFonts w:ascii="Palatino Linotype" w:hAnsi="Palatino Linotype"/>
        </w:rPr>
        <w:t>ccess and associated infrastructure for the education sector. These initiatives will position California students to successfully compete in the global economy. The improvement programs will continue for FY 2015-16. When qualifying schools, libraries, and community colleges, which are also CTF participants, purchase</w:t>
      </w:r>
      <w:r w:rsidR="00FA17F1">
        <w:rPr>
          <w:rFonts w:ascii="Palatino Linotype" w:hAnsi="Palatino Linotype"/>
        </w:rPr>
        <w:t xml:space="preserve"> CTF eligible services such as internet a</w:t>
      </w:r>
      <w:r w:rsidRPr="00EF7877">
        <w:rPr>
          <w:rFonts w:ascii="Palatino Linotype" w:hAnsi="Palatino Linotype"/>
        </w:rPr>
        <w:t xml:space="preserve">ccess under the Governor’s initiatives, there will also be a corresponding draw on the CTF. </w:t>
      </w:r>
      <w:r w:rsidR="007A5191">
        <w:rPr>
          <w:rFonts w:ascii="Palatino Linotype" w:hAnsi="Palatino Linotype"/>
        </w:rPr>
        <w:t xml:space="preserve"> </w:t>
      </w:r>
      <w:r w:rsidRPr="00EF7877">
        <w:rPr>
          <w:rFonts w:ascii="Palatino Linotype" w:hAnsi="Palatino Linotype"/>
        </w:rPr>
        <w:t xml:space="preserve">The CPUC requested estimates from the respective entities in the education community on the impact of their technology programs on CTF in FY 2015-16. </w:t>
      </w:r>
    </w:p>
    <w:p w14:paraId="08054DBE" w14:textId="77777777" w:rsidR="00EF7877" w:rsidRPr="00EF7877" w:rsidRDefault="00EF7877" w:rsidP="00351398">
      <w:pPr>
        <w:tabs>
          <w:tab w:val="right" w:pos="10080"/>
        </w:tabs>
        <w:rPr>
          <w:rFonts w:ascii="Palatino Linotype" w:hAnsi="Palatino Linotype"/>
        </w:rPr>
      </w:pPr>
    </w:p>
    <w:p w14:paraId="4E843289" w14:textId="7299611F" w:rsidR="00EF7877" w:rsidRPr="00EF7877" w:rsidRDefault="00EF7877" w:rsidP="00351398">
      <w:pPr>
        <w:numPr>
          <w:ilvl w:val="0"/>
          <w:numId w:val="8"/>
        </w:numPr>
        <w:tabs>
          <w:tab w:val="right" w:pos="10080"/>
        </w:tabs>
        <w:rPr>
          <w:rFonts w:ascii="Palatino Linotype" w:hAnsi="Palatino Linotype"/>
        </w:rPr>
      </w:pPr>
      <w:r w:rsidRPr="00EF7877">
        <w:rPr>
          <w:rFonts w:ascii="Palatino Linotype" w:hAnsi="Palatino Linotype"/>
        </w:rPr>
        <w:t>The Governor’s FY</w:t>
      </w:r>
      <w:r>
        <w:rPr>
          <w:rFonts w:ascii="Palatino Linotype" w:hAnsi="Palatino Linotype"/>
        </w:rPr>
        <w:t xml:space="preserve"> 20</w:t>
      </w:r>
      <w:r w:rsidRPr="00EF7877">
        <w:rPr>
          <w:rFonts w:ascii="Palatino Linotype" w:hAnsi="Palatino Linotype"/>
        </w:rPr>
        <w:t xml:space="preserve">14-15 Budget provides libraries a $3.25 million appropriation, including $2.25 million for connection to a statewide </w:t>
      </w:r>
      <w:proofErr w:type="gramStart"/>
      <w:r w:rsidRPr="00EF7877">
        <w:rPr>
          <w:rFonts w:ascii="Palatino Linotype" w:hAnsi="Palatino Linotype"/>
        </w:rPr>
        <w:t>high speed</w:t>
      </w:r>
      <w:proofErr w:type="gramEnd"/>
      <w:r w:rsidRPr="00EF7877">
        <w:rPr>
          <w:rFonts w:ascii="Palatino Linotype" w:hAnsi="Palatino Linotype"/>
        </w:rPr>
        <w:t xml:space="preserve"> internet backbone (CENIC) and $1 million for infrastructure. (</w:t>
      </w:r>
      <w:hyperlink r:id="rId7" w:history="1">
        <w:r w:rsidRPr="00EF7877">
          <w:rPr>
            <w:rStyle w:val="Hyperlink"/>
            <w:rFonts w:ascii="Palatino Linotype" w:hAnsi="Palatino Linotype"/>
          </w:rPr>
          <w:t>http://www.ebudget.ca.gov/FullBudgetSummary.pdf</w:t>
        </w:r>
      </w:hyperlink>
      <w:r w:rsidRPr="00EF7877">
        <w:rPr>
          <w:rFonts w:ascii="Palatino Linotype" w:hAnsi="Palatino Linotype"/>
        </w:rPr>
        <w:t xml:space="preserve">, p14; FY </w:t>
      </w:r>
      <w:r w:rsidR="00D21A36">
        <w:rPr>
          <w:rFonts w:ascii="Palatino Linotype" w:hAnsi="Palatino Linotype"/>
        </w:rPr>
        <w:t>20</w:t>
      </w:r>
      <w:r w:rsidRPr="00EF7877">
        <w:rPr>
          <w:rFonts w:ascii="Palatino Linotype" w:hAnsi="Palatino Linotype"/>
        </w:rPr>
        <w:t xml:space="preserve">14-15 Budget  Item # 6120-215-001) Connecting all libraries to the high speed internet backbone requires paying CENIC backbone fees as well as adding /upgrading circuits to connect to all the libraries to CENIC. Both services are CTF-eligible. The </w:t>
      </w:r>
      <w:r w:rsidR="004C385F">
        <w:rPr>
          <w:rFonts w:ascii="Palatino Linotype" w:hAnsi="Palatino Linotype"/>
        </w:rPr>
        <w:t>California state library</w:t>
      </w:r>
      <w:r w:rsidRPr="00EF7877">
        <w:rPr>
          <w:rFonts w:ascii="Palatino Linotype" w:hAnsi="Palatino Linotype"/>
        </w:rPr>
        <w:t xml:space="preserve"> project</w:t>
      </w:r>
      <w:r w:rsidR="004C385F">
        <w:rPr>
          <w:rFonts w:ascii="Palatino Linotype" w:hAnsi="Palatino Linotype"/>
        </w:rPr>
        <w:t>s</w:t>
      </w:r>
      <w:r w:rsidRPr="00EF7877">
        <w:rPr>
          <w:rFonts w:ascii="Palatino Linotype" w:hAnsi="Palatino Linotype"/>
        </w:rPr>
        <w:t xml:space="preserve"> a $4.35 million increase in CTF discounts.   </w:t>
      </w:r>
    </w:p>
    <w:p w14:paraId="40939AAB" w14:textId="04E92D3F" w:rsidR="00EF7877" w:rsidRPr="00EF7877" w:rsidRDefault="00EF7877" w:rsidP="00351398">
      <w:pPr>
        <w:numPr>
          <w:ilvl w:val="0"/>
          <w:numId w:val="8"/>
        </w:numPr>
        <w:tabs>
          <w:tab w:val="right" w:pos="10080"/>
        </w:tabs>
        <w:rPr>
          <w:rFonts w:ascii="Palatino Linotype" w:hAnsi="Palatino Linotype"/>
        </w:rPr>
      </w:pPr>
      <w:r w:rsidRPr="00EF7877">
        <w:rPr>
          <w:rFonts w:ascii="Palatino Linotype" w:hAnsi="Palatino Linotype"/>
        </w:rPr>
        <w:t>The Governor’s FY</w:t>
      </w:r>
      <w:r>
        <w:rPr>
          <w:rFonts w:ascii="Palatino Linotype" w:hAnsi="Palatino Linotype"/>
        </w:rPr>
        <w:t xml:space="preserve"> 20</w:t>
      </w:r>
      <w:r w:rsidRPr="00EF7877">
        <w:rPr>
          <w:rFonts w:ascii="Palatino Linotype" w:hAnsi="Palatino Linotype"/>
        </w:rPr>
        <w:t>14-15 Budget provides schools a $26.7 million appropriation to assist local schools most in need of the required technology to participate in Common Core Computer Based Adaptive Testing. (</w:t>
      </w:r>
      <w:hyperlink r:id="rId8" w:history="1">
        <w:r w:rsidRPr="00EF7877">
          <w:rPr>
            <w:rStyle w:val="Hyperlink"/>
            <w:rFonts w:ascii="Palatino Linotype" w:hAnsi="Palatino Linotype"/>
          </w:rPr>
          <w:t>http://www.ebudget.ca.gov/FullBudgetSummary.pdf</w:t>
        </w:r>
      </w:hyperlink>
      <w:r w:rsidRPr="00EF7877">
        <w:rPr>
          <w:rFonts w:ascii="Palatino Linotype" w:hAnsi="Palatino Linotype"/>
        </w:rPr>
        <w:t>, p23; FY</w:t>
      </w:r>
      <w:r>
        <w:rPr>
          <w:rFonts w:ascii="Palatino Linotype" w:hAnsi="Palatino Linotype"/>
        </w:rPr>
        <w:t xml:space="preserve"> 20</w:t>
      </w:r>
      <w:r w:rsidRPr="00EF7877">
        <w:rPr>
          <w:rFonts w:ascii="Palatino Linotype" w:hAnsi="Palatino Linotype"/>
        </w:rPr>
        <w:t xml:space="preserve">14-15 Budget </w:t>
      </w:r>
      <w:r w:rsidRPr="00EF7877">
        <w:rPr>
          <w:rFonts w:ascii="Palatino Linotype" w:hAnsi="Palatino Linotype"/>
        </w:rPr>
        <w:lastRenderedPageBreak/>
        <w:t>Item # 6110-182-001)</w:t>
      </w:r>
      <w:r w:rsidR="007A5191">
        <w:rPr>
          <w:rFonts w:ascii="Palatino Linotype" w:hAnsi="Palatino Linotype"/>
        </w:rPr>
        <w:t xml:space="preserve"> </w:t>
      </w:r>
      <w:r w:rsidRPr="00EF7877">
        <w:rPr>
          <w:rFonts w:ascii="Palatino Linotype" w:hAnsi="Palatino Linotype"/>
        </w:rPr>
        <w:t xml:space="preserve"> The schools forecast $5 million will be spent on infrastructure and the rem</w:t>
      </w:r>
      <w:r w:rsidR="00FA17F1">
        <w:rPr>
          <w:rFonts w:ascii="Palatino Linotype" w:hAnsi="Palatino Linotype"/>
        </w:rPr>
        <w:t>ainder on ongoing internet a</w:t>
      </w:r>
      <w:r w:rsidRPr="00EF7877">
        <w:rPr>
          <w:rFonts w:ascii="Palatino Linotype" w:hAnsi="Palatino Linotype"/>
        </w:rPr>
        <w:t xml:space="preserve">ccess services, resulting in a projected increase of $6.6 million in CTF discounts. </w:t>
      </w:r>
    </w:p>
    <w:p w14:paraId="79A17759" w14:textId="71E1A99B" w:rsidR="00EF7877" w:rsidRPr="00EF7877" w:rsidRDefault="00EF7877" w:rsidP="00351398">
      <w:pPr>
        <w:numPr>
          <w:ilvl w:val="0"/>
          <w:numId w:val="8"/>
        </w:numPr>
        <w:tabs>
          <w:tab w:val="right" w:pos="10080"/>
        </w:tabs>
        <w:rPr>
          <w:rFonts w:ascii="Palatino Linotype" w:hAnsi="Palatino Linotype"/>
        </w:rPr>
      </w:pPr>
      <w:r w:rsidRPr="00EF7877">
        <w:rPr>
          <w:rFonts w:ascii="Palatino Linotype" w:hAnsi="Palatino Linotype"/>
        </w:rPr>
        <w:t>The Governor’s FY</w:t>
      </w:r>
      <w:r>
        <w:rPr>
          <w:rFonts w:ascii="Palatino Linotype" w:hAnsi="Palatino Linotype"/>
        </w:rPr>
        <w:t xml:space="preserve"> 20</w:t>
      </w:r>
      <w:r w:rsidRPr="00EF7877">
        <w:rPr>
          <w:rFonts w:ascii="Palatino Linotype" w:hAnsi="Palatino Linotype"/>
        </w:rPr>
        <w:t>14-15 Budget provides community colleges a $20.651 million appropriation for its Telecommunications and Technology Services program. (</w:t>
      </w:r>
      <w:hyperlink r:id="rId9" w:history="1">
        <w:r w:rsidRPr="00EF7877">
          <w:rPr>
            <w:rStyle w:val="Hyperlink"/>
            <w:rFonts w:ascii="Palatino Linotype" w:hAnsi="Palatino Linotype"/>
          </w:rPr>
          <w:t>http://www.ebudget.ca.gov/FullBudgetSummary.pdf</w:t>
        </w:r>
      </w:hyperlink>
      <w:r w:rsidRPr="00EF7877">
        <w:rPr>
          <w:rFonts w:ascii="Palatino Linotype" w:hAnsi="Palatino Linotype"/>
        </w:rPr>
        <w:t>, p21; Budget Item  # 6870-101-0001)  This is an increase of $6 million over the prior level, which can be used for various activities. The community colleges forecast an increase of $2.15 million in CTF discounts.</w:t>
      </w:r>
    </w:p>
    <w:p w14:paraId="426C7A62" w14:textId="77777777" w:rsidR="00EF7877" w:rsidRPr="00EF7877" w:rsidRDefault="00EF7877" w:rsidP="00351398">
      <w:pPr>
        <w:numPr>
          <w:ilvl w:val="0"/>
          <w:numId w:val="8"/>
        </w:numPr>
        <w:tabs>
          <w:tab w:val="right" w:pos="10080"/>
        </w:tabs>
        <w:rPr>
          <w:rFonts w:ascii="Palatino Linotype" w:hAnsi="Palatino Linotype"/>
        </w:rPr>
      </w:pPr>
      <w:r w:rsidRPr="00EF7877">
        <w:rPr>
          <w:rFonts w:ascii="Palatino Linotype" w:hAnsi="Palatino Linotype"/>
        </w:rPr>
        <w:t>The anticipated impact of the three education technology programs on the CTF is $13.1 million.</w:t>
      </w:r>
    </w:p>
    <w:p w14:paraId="569FCE8D" w14:textId="77777777" w:rsidR="00EF7877" w:rsidRPr="00EF7877" w:rsidRDefault="00EF7877" w:rsidP="00351398">
      <w:pPr>
        <w:tabs>
          <w:tab w:val="right" w:pos="10080"/>
        </w:tabs>
        <w:rPr>
          <w:rFonts w:ascii="Palatino Linotype" w:hAnsi="Palatino Linotype"/>
        </w:rPr>
      </w:pPr>
    </w:p>
    <w:p w14:paraId="4BC3E5F7" w14:textId="77777777" w:rsidR="00EF7877" w:rsidRPr="00EF7877" w:rsidRDefault="00EF7877" w:rsidP="00351398">
      <w:pPr>
        <w:tabs>
          <w:tab w:val="right" w:pos="10080"/>
        </w:tabs>
        <w:rPr>
          <w:rFonts w:ascii="Palatino Linotype" w:hAnsi="Palatino Linotype"/>
        </w:rPr>
      </w:pPr>
      <w:r w:rsidRPr="00EF7877">
        <w:rPr>
          <w:rFonts w:ascii="Palatino Linotype" w:hAnsi="Palatino Linotype"/>
        </w:rPr>
        <w:t xml:space="preserve">The federal E-rate program is phasing out voice service over a </w:t>
      </w:r>
      <w:proofErr w:type="gramStart"/>
      <w:r w:rsidRPr="00EF7877">
        <w:rPr>
          <w:rFonts w:ascii="Palatino Linotype" w:hAnsi="Palatino Linotype"/>
        </w:rPr>
        <w:t>five ye</w:t>
      </w:r>
      <w:r w:rsidR="00D526F9">
        <w:rPr>
          <w:rFonts w:ascii="Palatino Linotype" w:hAnsi="Palatino Linotype"/>
        </w:rPr>
        <w:t>ar</w:t>
      </w:r>
      <w:proofErr w:type="gramEnd"/>
      <w:r w:rsidR="00D526F9">
        <w:rPr>
          <w:rFonts w:ascii="Palatino Linotype" w:hAnsi="Palatino Linotype"/>
        </w:rPr>
        <w:t xml:space="preserve"> period beginning with FY</w:t>
      </w:r>
      <w:r w:rsidRPr="00EF7877">
        <w:rPr>
          <w:rFonts w:ascii="Palatino Linotype" w:hAnsi="Palatino Linotype"/>
        </w:rPr>
        <w:t xml:space="preserve"> 2015</w:t>
      </w:r>
      <w:r>
        <w:rPr>
          <w:rFonts w:ascii="Palatino Linotype" w:hAnsi="Palatino Linotype"/>
        </w:rPr>
        <w:t>-16</w:t>
      </w:r>
      <w:r w:rsidRPr="00EF7877">
        <w:rPr>
          <w:rFonts w:ascii="Palatino Linotype" w:hAnsi="Palatino Linotype"/>
        </w:rPr>
        <w:t xml:space="preserve">. Each year, an entity’s E-rate percentage discount is reduced by 20%. </w:t>
      </w:r>
      <w:r w:rsidR="007A5191">
        <w:rPr>
          <w:rFonts w:ascii="Palatino Linotype" w:hAnsi="Palatino Linotype"/>
        </w:rPr>
        <w:t xml:space="preserve"> </w:t>
      </w:r>
      <w:r w:rsidRPr="00EF7877">
        <w:rPr>
          <w:rFonts w:ascii="Palatino Linotype" w:hAnsi="Palatino Linotype"/>
        </w:rPr>
        <w:t xml:space="preserve">Since CTF discounts are applied after E-rate discounts, the remaining amount that is eligible for CTF discounts would be higher under the phase out. </w:t>
      </w:r>
      <w:r w:rsidR="007A5191">
        <w:rPr>
          <w:rFonts w:ascii="Palatino Linotype" w:hAnsi="Palatino Linotype"/>
        </w:rPr>
        <w:t xml:space="preserve"> </w:t>
      </w:r>
      <w:r w:rsidRPr="00EF7877">
        <w:rPr>
          <w:rFonts w:ascii="Palatino Linotype" w:hAnsi="Palatino Linotype"/>
        </w:rPr>
        <w:t xml:space="preserve">Applying the historical relationship between voice discounts and total discounts and the </w:t>
      </w:r>
      <w:r w:rsidR="00D526F9" w:rsidRPr="00EF7877">
        <w:rPr>
          <w:rFonts w:ascii="Palatino Linotype" w:hAnsi="Palatino Linotype"/>
        </w:rPr>
        <w:t>statewide</w:t>
      </w:r>
      <w:r w:rsidRPr="00EF7877">
        <w:rPr>
          <w:rFonts w:ascii="Palatino Linotype" w:hAnsi="Palatino Linotype"/>
        </w:rPr>
        <w:t xml:space="preserve"> average E-rate discount to the carriers’ FY</w:t>
      </w:r>
      <w:r w:rsidR="00D526F9">
        <w:rPr>
          <w:rFonts w:ascii="Palatino Linotype" w:hAnsi="Palatino Linotype"/>
        </w:rPr>
        <w:t xml:space="preserve"> </w:t>
      </w:r>
      <w:r>
        <w:rPr>
          <w:rFonts w:ascii="Palatino Linotype" w:hAnsi="Palatino Linotype"/>
        </w:rPr>
        <w:t>20</w:t>
      </w:r>
      <w:r w:rsidRPr="00EF7877">
        <w:rPr>
          <w:rFonts w:ascii="Palatino Linotype" w:hAnsi="Palatino Linotype"/>
        </w:rPr>
        <w:t xml:space="preserve">15-16 </w:t>
      </w:r>
      <w:r w:rsidR="00D526F9">
        <w:rPr>
          <w:rFonts w:ascii="Palatino Linotype" w:hAnsi="Palatino Linotype"/>
        </w:rPr>
        <w:t>forecast</w:t>
      </w:r>
      <w:r w:rsidRPr="00EF7877">
        <w:rPr>
          <w:rFonts w:ascii="Palatino Linotype" w:hAnsi="Palatino Linotype"/>
        </w:rPr>
        <w:t xml:space="preserve">, the CPUC projects this federal action is expected to increase the CTF by $3.614 million.  Furthermore, E-rate is eliminating wireless data plans, absent a demonstration of cost-effectiveness. The Statewide average E-rate discount is approximately 70%. CTF pays 50% on the remaining 30% (100%-70%) or 15% of the full price. </w:t>
      </w:r>
      <w:r w:rsidR="007A5191">
        <w:rPr>
          <w:rFonts w:ascii="Palatino Linotype" w:hAnsi="Palatino Linotype"/>
        </w:rPr>
        <w:t xml:space="preserve"> </w:t>
      </w:r>
      <w:proofErr w:type="gramStart"/>
      <w:r w:rsidRPr="00EF7877">
        <w:rPr>
          <w:rFonts w:ascii="Palatino Linotype" w:hAnsi="Palatino Linotype"/>
        </w:rPr>
        <w:t>Therefore</w:t>
      </w:r>
      <w:proofErr w:type="gramEnd"/>
      <w:r w:rsidRPr="00EF7877">
        <w:rPr>
          <w:rFonts w:ascii="Palatino Linotype" w:hAnsi="Palatino Linotype"/>
        </w:rPr>
        <w:t xml:space="preserve"> without any E-rate discount and if the CTF provides a 50% discount on the full price of the service,</w:t>
      </w:r>
      <w:r>
        <w:rPr>
          <w:rFonts w:ascii="Palatino Linotype" w:hAnsi="Palatino Linotype"/>
        </w:rPr>
        <w:t xml:space="preserve"> the discounts would </w:t>
      </w:r>
      <w:r w:rsidRPr="00EF7877">
        <w:rPr>
          <w:rFonts w:ascii="Palatino Linotype" w:hAnsi="Palatino Linotype"/>
        </w:rPr>
        <w:t xml:space="preserve">be more than three times the carriers’ current forecast. </w:t>
      </w:r>
      <w:r w:rsidR="007A5191">
        <w:rPr>
          <w:rFonts w:ascii="Palatino Linotype" w:hAnsi="Palatino Linotype"/>
        </w:rPr>
        <w:t xml:space="preserve"> </w:t>
      </w:r>
      <w:r w:rsidRPr="00EF7877">
        <w:rPr>
          <w:rFonts w:ascii="Palatino Linotype" w:hAnsi="Palatino Linotype"/>
        </w:rPr>
        <w:t>The CPUC projects the CTF would need to increase by $18.142 million due to this federal action. The total impact of the E-rate changes on CTF is forecasted to be $21.756 million.</w:t>
      </w:r>
    </w:p>
    <w:p w14:paraId="355A2067" w14:textId="77777777" w:rsidR="00CD6108" w:rsidRPr="00A87A9A" w:rsidRDefault="00CD6108" w:rsidP="00A87A9A">
      <w:pPr>
        <w:tabs>
          <w:tab w:val="right" w:pos="10080"/>
        </w:tabs>
        <w:rPr>
          <w:rFonts w:ascii="Palatino Linotype" w:hAnsi="Palatino Linotype"/>
        </w:rPr>
      </w:pPr>
    </w:p>
    <w:p w14:paraId="5D99E9EE" w14:textId="77777777" w:rsidR="00A87A9A" w:rsidRDefault="00A87A9A" w:rsidP="00A87A9A">
      <w:pPr>
        <w:tabs>
          <w:tab w:val="right" w:pos="10080"/>
        </w:tabs>
        <w:rPr>
          <w:rFonts w:ascii="Palatino Linotype" w:hAnsi="Palatino Linotype"/>
        </w:rPr>
      </w:pPr>
      <w:r w:rsidRPr="00A87A9A">
        <w:rPr>
          <w:rFonts w:ascii="Palatino Linotype" w:hAnsi="Palatino Linotype"/>
        </w:rPr>
        <w:t xml:space="preserve">CTF program continues to grow with new participants and higher demand for advanced telecommunications services, especially by schools for higher bandwidth services, which are likely to be used for the Common Core Computer Based Adaptive Testing. </w:t>
      </w:r>
      <w:r w:rsidR="00C37A9D">
        <w:rPr>
          <w:rFonts w:ascii="Palatino Linotype" w:hAnsi="Palatino Linotype"/>
        </w:rPr>
        <w:t xml:space="preserve"> </w:t>
      </w:r>
      <w:r w:rsidRPr="00A87A9A">
        <w:rPr>
          <w:rFonts w:ascii="Palatino Linotype" w:hAnsi="Palatino Linotype"/>
        </w:rPr>
        <w:t xml:space="preserve">Carriers’ forecasts of FY </w:t>
      </w:r>
      <w:r>
        <w:rPr>
          <w:rFonts w:ascii="Palatino Linotype" w:hAnsi="Palatino Linotype"/>
        </w:rPr>
        <w:t>20</w:t>
      </w:r>
      <w:r w:rsidRPr="00A87A9A">
        <w:rPr>
          <w:rFonts w:ascii="Palatino Linotype" w:hAnsi="Palatino Linotype"/>
        </w:rPr>
        <w:t>15-16 CTF discounts indicate a 5% increase over FY</w:t>
      </w:r>
      <w:r>
        <w:rPr>
          <w:rFonts w:ascii="Palatino Linotype" w:hAnsi="Palatino Linotype"/>
        </w:rPr>
        <w:t xml:space="preserve"> 20</w:t>
      </w:r>
      <w:r w:rsidRPr="00A87A9A">
        <w:rPr>
          <w:rFonts w:ascii="Palatino Linotype" w:hAnsi="Palatino Linotype"/>
        </w:rPr>
        <w:t xml:space="preserve">14-15 discounts, approximately $5.6 million increase to the fund. </w:t>
      </w:r>
      <w:r w:rsidR="00C37A9D">
        <w:rPr>
          <w:rFonts w:ascii="Palatino Linotype" w:hAnsi="Palatino Linotype"/>
        </w:rPr>
        <w:t xml:space="preserve"> </w:t>
      </w:r>
      <w:r w:rsidRPr="00A87A9A">
        <w:rPr>
          <w:rFonts w:ascii="Palatino Linotype" w:hAnsi="Palatino Linotype"/>
        </w:rPr>
        <w:t xml:space="preserve">The 5 % increase is modest compared to the historical growth in actual expenses. </w:t>
      </w:r>
      <w:r w:rsidR="00C37A9D">
        <w:rPr>
          <w:rFonts w:ascii="Palatino Linotype" w:hAnsi="Palatino Linotype"/>
        </w:rPr>
        <w:t xml:space="preserve"> </w:t>
      </w:r>
      <w:r w:rsidRPr="00A87A9A">
        <w:rPr>
          <w:rFonts w:ascii="Palatino Linotype" w:hAnsi="Palatino Linotype"/>
        </w:rPr>
        <w:t>For example, actual expenditures grew 16% from FY</w:t>
      </w:r>
      <w:r>
        <w:rPr>
          <w:rFonts w:ascii="Palatino Linotype" w:hAnsi="Palatino Linotype"/>
        </w:rPr>
        <w:t xml:space="preserve"> 20</w:t>
      </w:r>
      <w:r w:rsidRPr="00A87A9A">
        <w:rPr>
          <w:rFonts w:ascii="Palatino Linotype" w:hAnsi="Palatino Linotype"/>
        </w:rPr>
        <w:t>12-13 to FY</w:t>
      </w:r>
      <w:r>
        <w:rPr>
          <w:rFonts w:ascii="Palatino Linotype" w:hAnsi="Palatino Linotype"/>
        </w:rPr>
        <w:t xml:space="preserve"> 20</w:t>
      </w:r>
      <w:r w:rsidRPr="00A87A9A">
        <w:rPr>
          <w:rFonts w:ascii="Palatino Linotype" w:hAnsi="Palatino Linotype"/>
        </w:rPr>
        <w:t>13-14.</w:t>
      </w:r>
    </w:p>
    <w:p w14:paraId="74B0397B" w14:textId="77777777" w:rsidR="00A87A9A" w:rsidRPr="00A87A9A" w:rsidRDefault="00A87A9A" w:rsidP="00A87A9A">
      <w:pPr>
        <w:tabs>
          <w:tab w:val="right" w:pos="10080"/>
        </w:tabs>
        <w:rPr>
          <w:rFonts w:ascii="Palatino Linotype" w:hAnsi="Palatino Linotype"/>
        </w:rPr>
      </w:pPr>
    </w:p>
    <w:p w14:paraId="279A24B6" w14:textId="77777777" w:rsidR="0064547C" w:rsidRPr="0064547C" w:rsidRDefault="0064547C" w:rsidP="0064547C">
      <w:pPr>
        <w:tabs>
          <w:tab w:val="right" w:pos="10080"/>
        </w:tabs>
        <w:jc w:val="both"/>
        <w:rPr>
          <w:rFonts w:ascii="Palatino Linotype" w:hAnsi="Palatino Linotype"/>
          <w:i/>
          <w:u w:val="single"/>
        </w:rPr>
      </w:pPr>
      <w:r w:rsidRPr="0064547C">
        <w:rPr>
          <w:rFonts w:ascii="Palatino Linotype" w:hAnsi="Palatino Linotype"/>
          <w:i/>
          <w:u w:val="single"/>
        </w:rPr>
        <w:t>0840 State Controller (S</w:t>
      </w:r>
      <w:r w:rsidR="00662283">
        <w:rPr>
          <w:rFonts w:ascii="Palatino Linotype" w:hAnsi="Palatino Linotype"/>
          <w:i/>
          <w:u w:val="single"/>
        </w:rPr>
        <w:t xml:space="preserve">tate Operations) Costs </w:t>
      </w:r>
    </w:p>
    <w:p w14:paraId="5F7F2BDD" w14:textId="77777777" w:rsidR="0064547C" w:rsidRPr="0064547C" w:rsidRDefault="0064547C" w:rsidP="0064547C">
      <w:pPr>
        <w:tabs>
          <w:tab w:val="right" w:pos="10080"/>
        </w:tabs>
        <w:jc w:val="both"/>
        <w:rPr>
          <w:rFonts w:ascii="Palatino Linotype" w:hAnsi="Palatino Linotype"/>
        </w:rPr>
      </w:pPr>
      <w:r w:rsidRPr="0064547C">
        <w:rPr>
          <w:rFonts w:ascii="Palatino Linotype" w:hAnsi="Palatino Linotype"/>
        </w:rPr>
        <w:t xml:space="preserve">This item appropriates funds for the State Controller’s Office.  </w:t>
      </w:r>
      <w:r>
        <w:rPr>
          <w:rFonts w:ascii="Palatino Linotype" w:hAnsi="Palatino Linotype"/>
        </w:rPr>
        <w:t>For FY 2015-16</w:t>
      </w:r>
      <w:r w:rsidRPr="0064547C">
        <w:rPr>
          <w:rFonts w:ascii="Palatino Linotype" w:hAnsi="Palatino Linotype"/>
        </w:rPr>
        <w:t xml:space="preserve">, staff used the </w:t>
      </w:r>
      <w:r>
        <w:rPr>
          <w:rFonts w:ascii="Palatino Linotype" w:hAnsi="Palatino Linotype"/>
        </w:rPr>
        <w:t>most recent amount</w:t>
      </w:r>
      <w:r w:rsidR="00A04BB4">
        <w:rPr>
          <w:rFonts w:ascii="Palatino Linotype" w:hAnsi="Palatino Linotype"/>
        </w:rPr>
        <w:t xml:space="preserve"> obtained from the detailed fund balance report</w:t>
      </w:r>
      <w:r w:rsidR="001A4041">
        <w:rPr>
          <w:rFonts w:ascii="Palatino Linotype" w:hAnsi="Palatino Linotype"/>
        </w:rPr>
        <w:t xml:space="preserve"> for FY 2013-14</w:t>
      </w:r>
      <w:r w:rsidR="00A04BB4">
        <w:rPr>
          <w:rFonts w:ascii="Palatino Linotype" w:hAnsi="Palatino Linotype"/>
        </w:rPr>
        <w:t>,</w:t>
      </w:r>
      <w:r w:rsidR="001A4041">
        <w:rPr>
          <w:rFonts w:ascii="Palatino Linotype" w:hAnsi="Palatino Linotype"/>
        </w:rPr>
        <w:t xml:space="preserve"> which is $714</w:t>
      </w:r>
      <w:r w:rsidRPr="0064547C">
        <w:rPr>
          <w:rFonts w:ascii="Palatino Linotype" w:hAnsi="Palatino Linotype"/>
        </w:rPr>
        <w:t xml:space="preserve">.  </w:t>
      </w:r>
    </w:p>
    <w:p w14:paraId="2CC29DA5" w14:textId="77777777" w:rsidR="0064547C" w:rsidRPr="0064547C" w:rsidRDefault="0064547C" w:rsidP="0064547C">
      <w:pPr>
        <w:tabs>
          <w:tab w:val="right" w:pos="10080"/>
        </w:tabs>
        <w:rPr>
          <w:rFonts w:ascii="Palatino Linotype" w:hAnsi="Palatino Linotype"/>
          <w:i/>
          <w:u w:val="single"/>
        </w:rPr>
      </w:pPr>
      <w:r w:rsidRPr="0064547C">
        <w:rPr>
          <w:rFonts w:ascii="Palatino Linotype" w:hAnsi="Palatino Linotype"/>
          <w:i/>
          <w:u w:val="single"/>
        </w:rPr>
        <w:lastRenderedPageBreak/>
        <w:t xml:space="preserve">8880 Fiscal Information System </w:t>
      </w:r>
      <w:r>
        <w:rPr>
          <w:rFonts w:ascii="Palatino Linotype" w:hAnsi="Palatino Linotype"/>
          <w:i/>
          <w:u w:val="single"/>
        </w:rPr>
        <w:t xml:space="preserve">for California </w:t>
      </w:r>
    </w:p>
    <w:p w14:paraId="41268D0C" w14:textId="77777777" w:rsidR="0064547C" w:rsidRPr="0064547C" w:rsidRDefault="0064547C" w:rsidP="0064547C">
      <w:pPr>
        <w:tabs>
          <w:tab w:val="right" w:pos="10080"/>
        </w:tabs>
        <w:rPr>
          <w:rFonts w:ascii="Palatino Linotype" w:hAnsi="Palatino Linotype"/>
          <w:i/>
          <w:u w:val="single"/>
        </w:rPr>
      </w:pPr>
      <w:r w:rsidRPr="0064547C">
        <w:rPr>
          <w:rFonts w:ascii="Palatino Linotype" w:hAnsi="Palatino Linotype"/>
        </w:rPr>
        <w:t>This item appropriates funds for the Financial Information System for California (</w:t>
      </w:r>
      <w:proofErr w:type="spellStart"/>
      <w:r w:rsidRPr="0064547C">
        <w:rPr>
          <w:rFonts w:ascii="Palatino Linotype" w:hAnsi="Palatino Linotype"/>
        </w:rPr>
        <w:t>F</w:t>
      </w:r>
      <w:r w:rsidR="0093198E">
        <w:rPr>
          <w:rFonts w:ascii="Palatino Linotype" w:hAnsi="Palatino Linotype"/>
        </w:rPr>
        <w:t>I$</w:t>
      </w:r>
      <w:r w:rsidRPr="0064547C">
        <w:rPr>
          <w:rFonts w:ascii="Palatino Linotype" w:hAnsi="Palatino Linotype"/>
        </w:rPr>
        <w:t>Cal</w:t>
      </w:r>
      <w:proofErr w:type="spellEnd"/>
      <w:r w:rsidRPr="0064547C">
        <w:rPr>
          <w:rFonts w:ascii="Palatino Linotype" w:hAnsi="Palatino Linotype"/>
        </w:rPr>
        <w:t xml:space="preserve">).  </w:t>
      </w:r>
      <w:proofErr w:type="spellStart"/>
      <w:r w:rsidRPr="0064547C">
        <w:rPr>
          <w:rFonts w:ascii="Palatino Linotype" w:hAnsi="Palatino Linotype"/>
        </w:rPr>
        <w:t>F</w:t>
      </w:r>
      <w:r w:rsidR="0093198E">
        <w:rPr>
          <w:rFonts w:ascii="Palatino Linotype" w:hAnsi="Palatino Linotype"/>
        </w:rPr>
        <w:t>I$</w:t>
      </w:r>
      <w:r w:rsidRPr="0064547C">
        <w:rPr>
          <w:rFonts w:ascii="Palatino Linotype" w:hAnsi="Palatino Linotype"/>
        </w:rPr>
        <w:t>Cal</w:t>
      </w:r>
      <w:proofErr w:type="spellEnd"/>
      <w:r w:rsidRPr="0064547C">
        <w:rPr>
          <w:rFonts w:ascii="Palatino Linotype" w:hAnsi="Palatino Linotype"/>
        </w:rPr>
        <w:t xml:space="preserve"> is an information technology (IT) project managed by a partnership of Department of Finance, the State Treasurer’s Office, the State Controller’s Office, and the Department of General Services.  The purpose of this project is to create and implement a new statewide financial system.  The budget </w:t>
      </w:r>
      <w:r>
        <w:rPr>
          <w:rFonts w:ascii="Palatino Linotype" w:hAnsi="Palatino Linotype"/>
        </w:rPr>
        <w:t>For FY 2015-16</w:t>
      </w:r>
      <w:r w:rsidR="001A4041">
        <w:rPr>
          <w:rFonts w:ascii="Palatino Linotype" w:hAnsi="Palatino Linotype"/>
        </w:rPr>
        <w:t xml:space="preserve"> is $76</w:t>
      </w:r>
      <w:r w:rsidRPr="0064547C">
        <w:rPr>
          <w:rFonts w:ascii="Palatino Linotype" w:hAnsi="Palatino Linotype"/>
        </w:rPr>
        <w:t>,000 as estimated in t</w:t>
      </w:r>
      <w:r w:rsidR="00A04BB4">
        <w:rPr>
          <w:rFonts w:ascii="Palatino Linotype" w:hAnsi="Palatino Linotype"/>
        </w:rPr>
        <w:t>he governor’s budget for FY 2014-15</w:t>
      </w:r>
      <w:r w:rsidRPr="0064547C">
        <w:rPr>
          <w:rFonts w:ascii="Palatino Linotype" w:hAnsi="Palatino Linotype"/>
        </w:rPr>
        <w:t>.</w:t>
      </w:r>
      <w:r w:rsidRPr="0064547C">
        <w:rPr>
          <w:rFonts w:ascii="Palatino Linotype" w:hAnsi="Palatino Linotype"/>
          <w:i/>
          <w:u w:val="single"/>
        </w:rPr>
        <w:t xml:space="preserve"> </w:t>
      </w:r>
    </w:p>
    <w:p w14:paraId="7EFDD17C" w14:textId="77777777" w:rsidR="0064547C" w:rsidRPr="0064547C" w:rsidRDefault="0064547C" w:rsidP="0064547C">
      <w:pPr>
        <w:tabs>
          <w:tab w:val="right" w:pos="10080"/>
        </w:tabs>
        <w:rPr>
          <w:rFonts w:ascii="Palatino Linotype" w:hAnsi="Palatino Linotype"/>
          <w:i/>
          <w:u w:val="single"/>
        </w:rPr>
      </w:pPr>
    </w:p>
    <w:p w14:paraId="6A5A70DD" w14:textId="77777777" w:rsidR="0064547C" w:rsidRPr="0064547C" w:rsidRDefault="0064547C" w:rsidP="0064547C">
      <w:pPr>
        <w:tabs>
          <w:tab w:val="right" w:pos="10080"/>
        </w:tabs>
        <w:rPr>
          <w:rFonts w:ascii="Palatino Linotype" w:hAnsi="Palatino Linotype"/>
          <w:i/>
          <w:u w:val="single"/>
        </w:rPr>
      </w:pPr>
      <w:r w:rsidRPr="0064547C">
        <w:rPr>
          <w:rFonts w:ascii="Palatino Linotype" w:hAnsi="Palatino Linotype"/>
          <w:i/>
          <w:u w:val="single"/>
        </w:rPr>
        <w:t>Total Program Expenses</w:t>
      </w:r>
    </w:p>
    <w:p w14:paraId="2AA8C101" w14:textId="77777777" w:rsidR="0064547C" w:rsidRPr="0064547C" w:rsidRDefault="0064547C" w:rsidP="0064547C">
      <w:pPr>
        <w:tabs>
          <w:tab w:val="right" w:pos="10080"/>
        </w:tabs>
        <w:rPr>
          <w:rFonts w:ascii="Palatino Linotype" w:hAnsi="Palatino Linotype"/>
        </w:rPr>
      </w:pPr>
      <w:r w:rsidRPr="0064547C">
        <w:rPr>
          <w:rFonts w:ascii="Palatino Linotype" w:hAnsi="Palatino Linotype"/>
        </w:rPr>
        <w:t>Total forecasted expe</w:t>
      </w:r>
      <w:r>
        <w:rPr>
          <w:rFonts w:ascii="Palatino Linotype" w:hAnsi="Palatino Linotype"/>
        </w:rPr>
        <w:t>nses for FY 2015-16</w:t>
      </w:r>
      <w:r w:rsidRPr="0064547C">
        <w:rPr>
          <w:rFonts w:ascii="Palatino Linotype" w:hAnsi="Palatino Linotype"/>
        </w:rPr>
        <w:t xml:space="preserve"> are </w:t>
      </w:r>
      <w:r w:rsidR="00C77100">
        <w:rPr>
          <w:rFonts w:ascii="Palatino Linotype" w:hAnsi="Palatino Linotype"/>
        </w:rPr>
        <w:t>$148,0</w:t>
      </w:r>
      <w:r w:rsidR="004845C0">
        <w:rPr>
          <w:rFonts w:ascii="Palatino Linotype" w:hAnsi="Palatino Linotype"/>
        </w:rPr>
        <w:t>86,714</w:t>
      </w:r>
      <w:r w:rsidR="00220DCB">
        <w:rPr>
          <w:rFonts w:ascii="Palatino Linotype" w:hAnsi="Palatino Linotype"/>
        </w:rPr>
        <w:t>,000.  This is</w:t>
      </w:r>
      <w:r w:rsidRPr="0064547C">
        <w:rPr>
          <w:rFonts w:ascii="Palatino Linotype" w:hAnsi="Palatino Linotype"/>
        </w:rPr>
        <w:t xml:space="preserve"> an increase of </w:t>
      </w:r>
      <w:r w:rsidR="00194B47">
        <w:rPr>
          <w:rFonts w:ascii="Palatino Linotype" w:hAnsi="Palatino Linotype"/>
        </w:rPr>
        <w:t>about 37</w:t>
      </w:r>
      <w:r w:rsidRPr="0064547C">
        <w:rPr>
          <w:rFonts w:ascii="Palatino Linotype" w:hAnsi="Palatino Linotype"/>
        </w:rPr>
        <w:t xml:space="preserve">% compared to the last year’s budget.  Appendix A </w:t>
      </w:r>
      <w:r>
        <w:rPr>
          <w:rFonts w:ascii="Palatino Linotype" w:hAnsi="Palatino Linotype"/>
        </w:rPr>
        <w:t>compares CD’s forecasted FY 2015-16</w:t>
      </w:r>
      <w:r w:rsidRPr="0064547C">
        <w:rPr>
          <w:rFonts w:ascii="Palatino Linotype" w:hAnsi="Palatino Linotype"/>
        </w:rPr>
        <w:t xml:space="preserve"> e</w:t>
      </w:r>
      <w:r>
        <w:rPr>
          <w:rFonts w:ascii="Palatino Linotype" w:hAnsi="Palatino Linotype"/>
        </w:rPr>
        <w:t>xpense budget versus the FY 2014-15</w:t>
      </w:r>
      <w:r w:rsidRPr="0064547C">
        <w:rPr>
          <w:rFonts w:ascii="Palatino Linotype" w:hAnsi="Palatino Linotype"/>
        </w:rPr>
        <w:t xml:space="preserve"> expense budget adopted by the Commission.  The CTF program has increased tremendously over time.  CD staff believes that the rise in total claims expense is due to </w:t>
      </w:r>
      <w:r w:rsidR="002E0E5F">
        <w:rPr>
          <w:rFonts w:ascii="Palatino Linotype" w:hAnsi="Palatino Linotype"/>
        </w:rPr>
        <w:t>external factors such as the Gover</w:t>
      </w:r>
      <w:r w:rsidR="00AC0402">
        <w:rPr>
          <w:rFonts w:ascii="Palatino Linotype" w:hAnsi="Palatino Linotype"/>
        </w:rPr>
        <w:t>nor’s Education initiative, higher dema</w:t>
      </w:r>
      <w:r w:rsidR="00220DCB">
        <w:rPr>
          <w:rFonts w:ascii="Palatino Linotype" w:hAnsi="Palatino Linotype"/>
        </w:rPr>
        <w:t xml:space="preserve">nd by schools and libraries, </w:t>
      </w:r>
      <w:r w:rsidR="00AC0402">
        <w:rPr>
          <w:rFonts w:ascii="Palatino Linotype" w:hAnsi="Palatino Linotype"/>
        </w:rPr>
        <w:t>changes to the e-rat</w:t>
      </w:r>
      <w:r w:rsidR="00220DCB">
        <w:rPr>
          <w:rFonts w:ascii="Palatino Linotype" w:hAnsi="Palatino Linotype"/>
        </w:rPr>
        <w:t>e program and CBO outreach efforts</w:t>
      </w:r>
      <w:r w:rsidR="00AC0402">
        <w:rPr>
          <w:rFonts w:ascii="Palatino Linotype" w:hAnsi="Palatino Linotype"/>
        </w:rPr>
        <w:t xml:space="preserve">.  </w:t>
      </w:r>
      <w:r w:rsidR="002E0E5F">
        <w:rPr>
          <w:rFonts w:ascii="Palatino Linotype" w:hAnsi="Palatino Linotype"/>
        </w:rPr>
        <w:t xml:space="preserve">CD </w:t>
      </w:r>
      <w:r w:rsidRPr="0064547C">
        <w:rPr>
          <w:rFonts w:ascii="Palatino Linotype" w:hAnsi="Palatino Linotype"/>
        </w:rPr>
        <w:t>believes the program wil</w:t>
      </w:r>
      <w:r w:rsidR="002E0E5F">
        <w:rPr>
          <w:rFonts w:ascii="Palatino Linotype" w:hAnsi="Palatino Linotype"/>
        </w:rPr>
        <w:t xml:space="preserve">l continue to grow through FY </w:t>
      </w:r>
      <w:r w:rsidR="00D21A36">
        <w:rPr>
          <w:rFonts w:ascii="Palatino Linotype" w:hAnsi="Palatino Linotype"/>
        </w:rPr>
        <w:t>20</w:t>
      </w:r>
      <w:r w:rsidR="002E0E5F">
        <w:rPr>
          <w:rFonts w:ascii="Palatino Linotype" w:hAnsi="Palatino Linotype"/>
        </w:rPr>
        <w:t>15-16</w:t>
      </w:r>
      <w:r w:rsidRPr="0064547C">
        <w:rPr>
          <w:rFonts w:ascii="Palatino Linotype" w:hAnsi="Palatino Linotype"/>
        </w:rPr>
        <w:t xml:space="preserve">.  </w:t>
      </w:r>
    </w:p>
    <w:p w14:paraId="2700FA5D" w14:textId="77777777" w:rsidR="0064547C" w:rsidRPr="00DB3E68" w:rsidRDefault="0064547C" w:rsidP="0064547C">
      <w:pPr>
        <w:tabs>
          <w:tab w:val="right" w:pos="10080"/>
        </w:tabs>
        <w:rPr>
          <w:rFonts w:ascii="Palatino Linotype" w:hAnsi="Palatino Linotype"/>
        </w:rPr>
      </w:pPr>
    </w:p>
    <w:p w14:paraId="6B9181B2" w14:textId="77777777" w:rsidR="0064547C" w:rsidRPr="0064547C" w:rsidRDefault="0064547C" w:rsidP="0064547C">
      <w:pPr>
        <w:tabs>
          <w:tab w:val="right" w:pos="10080"/>
        </w:tabs>
        <w:rPr>
          <w:rFonts w:ascii="Palatino Linotype" w:hAnsi="Palatino Linotype"/>
          <w:i/>
          <w:u w:val="single"/>
        </w:rPr>
      </w:pPr>
      <w:r w:rsidRPr="0064547C">
        <w:rPr>
          <w:rFonts w:ascii="Palatino Linotype" w:hAnsi="Palatino Linotype"/>
          <w:i/>
          <w:u w:val="single"/>
        </w:rPr>
        <w:t>CD Proposal vs. CTF-AC Proposal</w:t>
      </w:r>
    </w:p>
    <w:p w14:paraId="4829878B" w14:textId="77777777" w:rsidR="0064547C" w:rsidRPr="0064547C" w:rsidRDefault="0064547C" w:rsidP="0064547C">
      <w:pPr>
        <w:tabs>
          <w:tab w:val="right" w:pos="10080"/>
        </w:tabs>
        <w:rPr>
          <w:rFonts w:ascii="Palatino Linotype" w:hAnsi="Palatino Linotype"/>
        </w:rPr>
      </w:pPr>
      <w:r w:rsidRPr="0064547C">
        <w:rPr>
          <w:rFonts w:ascii="Palatino Linotype" w:hAnsi="Palatino Linotype"/>
        </w:rPr>
        <w:t>CD’s budget recommend</w:t>
      </w:r>
      <w:r>
        <w:rPr>
          <w:rFonts w:ascii="Palatino Linotype" w:hAnsi="Palatino Linotype"/>
        </w:rPr>
        <w:t>ation for FY 2015-16</w:t>
      </w:r>
      <w:r w:rsidRPr="0064547C">
        <w:rPr>
          <w:rFonts w:ascii="Palatino Linotype" w:hAnsi="Palatino Linotype"/>
        </w:rPr>
        <w:t xml:space="preserve"> is </w:t>
      </w:r>
      <w:r w:rsidR="00194B47">
        <w:rPr>
          <w:rFonts w:ascii="Palatino Linotype" w:hAnsi="Palatino Linotype"/>
        </w:rPr>
        <w:t>$148,0</w:t>
      </w:r>
      <w:r w:rsidR="004845C0">
        <w:rPr>
          <w:rFonts w:ascii="Palatino Linotype" w:hAnsi="Palatino Linotype"/>
        </w:rPr>
        <w:t>86,714</w:t>
      </w:r>
      <w:r w:rsidRPr="0064547C">
        <w:rPr>
          <w:rFonts w:ascii="Palatino Linotype" w:hAnsi="Palatino Linotype"/>
        </w:rPr>
        <w:t xml:space="preserve">,000, which is </w:t>
      </w:r>
      <w:r w:rsidR="00613F88">
        <w:rPr>
          <w:rFonts w:ascii="Palatino Linotype" w:hAnsi="Palatino Linotype"/>
        </w:rPr>
        <w:t>2</w:t>
      </w:r>
      <w:r w:rsidR="004845C0">
        <w:rPr>
          <w:rFonts w:ascii="Palatino Linotype" w:hAnsi="Palatino Linotype"/>
        </w:rPr>
        <w:t>5</w:t>
      </w:r>
      <w:r w:rsidRPr="0064547C">
        <w:rPr>
          <w:rFonts w:ascii="Palatino Linotype" w:hAnsi="Palatino Linotype"/>
        </w:rPr>
        <w:t xml:space="preserve">% higher than Administrative Committee’s proposed budget of </w:t>
      </w:r>
      <w:r w:rsidR="00613F88">
        <w:rPr>
          <w:rFonts w:ascii="Palatino Linotype" w:hAnsi="Palatino Linotype"/>
        </w:rPr>
        <w:t>$11</w:t>
      </w:r>
      <w:r w:rsidR="004845C0">
        <w:rPr>
          <w:rFonts w:ascii="Palatino Linotype" w:hAnsi="Palatino Linotype"/>
        </w:rPr>
        <w:t>8,942</w:t>
      </w:r>
      <w:r w:rsidRPr="0064547C">
        <w:rPr>
          <w:rFonts w:ascii="Palatino Linotype" w:hAnsi="Palatino Linotype"/>
        </w:rPr>
        <w:t xml:space="preserve">,000.  CD based its estimates on more recent data. </w:t>
      </w:r>
    </w:p>
    <w:p w14:paraId="7C41BF53" w14:textId="77777777" w:rsidR="0048230B" w:rsidRDefault="0048230B" w:rsidP="0048230B">
      <w:pPr>
        <w:tabs>
          <w:tab w:val="right" w:pos="10080"/>
        </w:tabs>
        <w:jc w:val="both"/>
        <w:rPr>
          <w:rFonts w:ascii="Palatino Linotype" w:hAnsi="Palatino Linotype"/>
        </w:rPr>
      </w:pPr>
    </w:p>
    <w:p w14:paraId="0155DF92" w14:textId="77777777" w:rsidR="0048230B" w:rsidRPr="00520FD8" w:rsidRDefault="0048230B" w:rsidP="0048230B">
      <w:pPr>
        <w:tabs>
          <w:tab w:val="right" w:pos="10080"/>
        </w:tabs>
        <w:jc w:val="both"/>
        <w:rPr>
          <w:rFonts w:ascii="Palatino Linotype" w:hAnsi="Palatino Linotype"/>
          <w:b/>
          <w:u w:val="single"/>
        </w:rPr>
      </w:pPr>
      <w:r w:rsidRPr="00520FD8">
        <w:rPr>
          <w:rFonts w:ascii="Palatino Linotype" w:hAnsi="Palatino Linotype"/>
          <w:b/>
          <w:u w:val="single"/>
        </w:rPr>
        <w:t>COMMENTS</w:t>
      </w:r>
    </w:p>
    <w:p w14:paraId="566EA6CD" w14:textId="77777777" w:rsidR="0048230B" w:rsidRPr="00825ECD" w:rsidRDefault="0048230B" w:rsidP="0048230B">
      <w:pPr>
        <w:tabs>
          <w:tab w:val="right" w:pos="10080"/>
        </w:tabs>
        <w:jc w:val="both"/>
        <w:rPr>
          <w:rFonts w:ascii="Palatino Linotype" w:hAnsi="Palatino Linotype"/>
          <w:sz w:val="20"/>
          <w:highlight w:val="yellow"/>
        </w:rPr>
      </w:pPr>
    </w:p>
    <w:p w14:paraId="6E01DA3E" w14:textId="2CD14CC9" w:rsidR="00417791" w:rsidRDefault="00417791" w:rsidP="00417791">
      <w:pPr>
        <w:rPr>
          <w:rFonts w:ascii="Palatino Linotype" w:hAnsi="Palatino Linotype"/>
        </w:rPr>
      </w:pPr>
      <w:r>
        <w:rPr>
          <w:rFonts w:ascii="Palatino Linotype" w:hAnsi="Palatino Linotype"/>
        </w:rPr>
        <w:t>In compliance with PU Code § 311 (g), the Co</w:t>
      </w:r>
      <w:r w:rsidR="00220DCB">
        <w:rPr>
          <w:rFonts w:ascii="Palatino Linotype" w:hAnsi="Palatino Linotype"/>
        </w:rPr>
        <w:t>mmission e-mailed</w:t>
      </w:r>
      <w:r w:rsidR="00DB3E68">
        <w:rPr>
          <w:rFonts w:ascii="Palatino Linotype" w:hAnsi="Palatino Linotype"/>
        </w:rPr>
        <w:t xml:space="preserve"> on October 03</w:t>
      </w:r>
      <w:r>
        <w:rPr>
          <w:rFonts w:ascii="Palatino Linotype" w:hAnsi="Palatino Linotype"/>
        </w:rPr>
        <w:t xml:space="preserve">, 2014, a notice letter informing telecommunications carriers serving CTF customers, members of the CTF-AC, and the parties of records in R.13-01-010 of the availability of this revised draft resolution for comments, as well as the availability of the conformed resolution, if adopted by the Commission, on the Commission website at </w:t>
      </w:r>
      <w:hyperlink r:id="rId10" w:history="1">
        <w:r>
          <w:rPr>
            <w:rStyle w:val="Hyperlink"/>
            <w:rFonts w:ascii="Palatino Linotype" w:hAnsi="Palatino Linotype"/>
          </w:rPr>
          <w:t>www.cpuc.ca.gov</w:t>
        </w:r>
      </w:hyperlink>
      <w:r>
        <w:rPr>
          <w:rFonts w:ascii="Palatino Linotype" w:hAnsi="Palatino Linotype"/>
        </w:rPr>
        <w:t xml:space="preserve">.  </w:t>
      </w:r>
    </w:p>
    <w:p w14:paraId="581E64AC" w14:textId="77777777" w:rsidR="00AA1452" w:rsidRDefault="00AA1452" w:rsidP="0048230B">
      <w:pPr>
        <w:tabs>
          <w:tab w:val="right" w:pos="10080"/>
        </w:tabs>
        <w:jc w:val="both"/>
        <w:rPr>
          <w:rFonts w:ascii="Palatino Linotype" w:hAnsi="Palatino Linotype"/>
          <w:b/>
          <w:u w:val="single"/>
        </w:rPr>
      </w:pPr>
    </w:p>
    <w:p w14:paraId="210906E8" w14:textId="77777777" w:rsidR="00635616" w:rsidRPr="00635616" w:rsidRDefault="00635616" w:rsidP="00635616">
      <w:pPr>
        <w:tabs>
          <w:tab w:val="right" w:pos="10080"/>
        </w:tabs>
        <w:rPr>
          <w:rFonts w:ascii="Palatino Linotype" w:hAnsi="Palatino Linotype"/>
        </w:rPr>
      </w:pPr>
      <w:r w:rsidRPr="00635616">
        <w:rPr>
          <w:rFonts w:ascii="Palatino Linotype" w:hAnsi="Palatino Linotype"/>
        </w:rPr>
        <w:t>Comments were received from the Office of Ratepayer Advocates (ORA) on the Draft Resolution.  ORA urges the Commission to review the eligibility requirements of existing services, including voice. ORA also asks the Commission to ensure that the proposed cost projections for libraries and schools are consistent with current program eligibility requirements so that the CTF program achieves California’s universal service goals in a fiscally prudent manner and consistent with the public benefit.</w:t>
      </w:r>
    </w:p>
    <w:p w14:paraId="725AC5C0" w14:textId="77777777" w:rsidR="00635616" w:rsidRPr="00635616" w:rsidRDefault="00635616" w:rsidP="00635616">
      <w:pPr>
        <w:tabs>
          <w:tab w:val="right" w:pos="10080"/>
        </w:tabs>
        <w:rPr>
          <w:rFonts w:ascii="Palatino Linotype" w:hAnsi="Palatino Linotype"/>
        </w:rPr>
      </w:pPr>
      <w:r w:rsidRPr="00635616">
        <w:rPr>
          <w:rFonts w:ascii="Palatino Linotype" w:hAnsi="Palatino Linotype"/>
        </w:rPr>
        <w:t> </w:t>
      </w:r>
    </w:p>
    <w:p w14:paraId="1F613DEE" w14:textId="77777777" w:rsidR="00635616" w:rsidRPr="00635616" w:rsidRDefault="00635616" w:rsidP="00635616">
      <w:pPr>
        <w:tabs>
          <w:tab w:val="right" w:pos="10080"/>
        </w:tabs>
        <w:rPr>
          <w:rFonts w:ascii="Palatino Linotype" w:hAnsi="Palatino Linotype"/>
        </w:rPr>
      </w:pPr>
      <w:r w:rsidRPr="00635616">
        <w:rPr>
          <w:rFonts w:ascii="Palatino Linotype" w:hAnsi="Palatino Linotype"/>
        </w:rPr>
        <w:lastRenderedPageBreak/>
        <w:t xml:space="preserve">The issues raised by ORA are currently being examined by the Commission in R.13-01-010.   Therefore, it would not be prudent for CD to prejudge these </w:t>
      </w:r>
      <w:proofErr w:type="gramStart"/>
      <w:r w:rsidRPr="00635616">
        <w:rPr>
          <w:rFonts w:ascii="Palatino Linotype" w:hAnsi="Palatino Linotype"/>
        </w:rPr>
        <w:t>issues  in</w:t>
      </w:r>
      <w:proofErr w:type="gramEnd"/>
      <w:r w:rsidRPr="00635616">
        <w:rPr>
          <w:rFonts w:ascii="Palatino Linotype" w:hAnsi="Palatino Linotype"/>
        </w:rPr>
        <w:t xml:space="preserve"> this resolution.  In a recent Department of Finance (DOF) audit of the CTF program, DOF recommended that future budgets be developed based on known factors and not on presumptions of possible changes.  CD also worked closely with the Community College Chancellor’s Office, the K-12 HSN and the CIO of the California State Library to estimate only CTF-eligible services that would be included in the CTF budget augmentation for FY 2015-16.  </w:t>
      </w:r>
    </w:p>
    <w:p w14:paraId="70918B94" w14:textId="77777777" w:rsidR="00635616" w:rsidRPr="00635616" w:rsidRDefault="00635616" w:rsidP="00635616">
      <w:pPr>
        <w:tabs>
          <w:tab w:val="right" w:pos="10080"/>
        </w:tabs>
        <w:rPr>
          <w:rFonts w:ascii="Palatino Linotype" w:hAnsi="Palatino Linotype"/>
        </w:rPr>
      </w:pPr>
      <w:r w:rsidRPr="00635616">
        <w:rPr>
          <w:rFonts w:ascii="Palatino Linotype" w:hAnsi="Palatino Linotype"/>
        </w:rPr>
        <w:t> </w:t>
      </w:r>
    </w:p>
    <w:p w14:paraId="1AA4AED8" w14:textId="77777777" w:rsidR="00635616" w:rsidRPr="00635616" w:rsidRDefault="00635616" w:rsidP="00635616">
      <w:pPr>
        <w:tabs>
          <w:tab w:val="right" w:pos="10080"/>
        </w:tabs>
        <w:rPr>
          <w:rFonts w:ascii="Palatino Linotype" w:hAnsi="Palatino Linotype"/>
        </w:rPr>
      </w:pPr>
      <w:r w:rsidRPr="00635616">
        <w:rPr>
          <w:rFonts w:ascii="Palatino Linotype" w:hAnsi="Palatino Linotype"/>
        </w:rPr>
        <w:t xml:space="preserve">We are mindful that the issues being examined in R.13-01-010 may affect the budget for FY 2015-16.  CD will closely monitor R.13-01-010 and take appropriate action to ensure that the CTF budget is </w:t>
      </w:r>
      <w:proofErr w:type="gramStart"/>
      <w:r w:rsidRPr="00635616">
        <w:rPr>
          <w:rFonts w:ascii="Palatino Linotype" w:hAnsi="Palatino Linotype"/>
        </w:rPr>
        <w:t>sufficient</w:t>
      </w:r>
      <w:proofErr w:type="gramEnd"/>
      <w:r w:rsidRPr="00635616">
        <w:rPr>
          <w:rFonts w:ascii="Palatino Linotype" w:hAnsi="Palatino Linotype"/>
        </w:rPr>
        <w:t xml:space="preserve"> to meet the program expenditures in furtherance of universal service goals without placing undue burden on ratepayers.</w:t>
      </w:r>
    </w:p>
    <w:p w14:paraId="3AD45488" w14:textId="77777777" w:rsidR="00E161FA" w:rsidRDefault="00E161FA" w:rsidP="0048230B">
      <w:pPr>
        <w:tabs>
          <w:tab w:val="right" w:pos="10080"/>
        </w:tabs>
        <w:jc w:val="both"/>
        <w:rPr>
          <w:rFonts w:ascii="Palatino Linotype" w:hAnsi="Palatino Linotype"/>
          <w:b/>
          <w:u w:val="single"/>
        </w:rPr>
      </w:pPr>
    </w:p>
    <w:p w14:paraId="7EBBCADB" w14:textId="77777777" w:rsidR="0048230B" w:rsidRDefault="00AA1452" w:rsidP="0048230B">
      <w:pPr>
        <w:tabs>
          <w:tab w:val="right" w:pos="10080"/>
        </w:tabs>
        <w:jc w:val="both"/>
        <w:rPr>
          <w:rFonts w:ascii="Palatino Linotype" w:hAnsi="Palatino Linotype"/>
          <w:b/>
          <w:u w:val="single"/>
        </w:rPr>
      </w:pPr>
      <w:r>
        <w:rPr>
          <w:rFonts w:ascii="Palatino Linotype" w:hAnsi="Palatino Linotype"/>
          <w:b/>
          <w:u w:val="single"/>
        </w:rPr>
        <w:t>SAFETY ISSUES</w:t>
      </w:r>
    </w:p>
    <w:p w14:paraId="05623184" w14:textId="77777777" w:rsidR="00AA1452" w:rsidRDefault="00AA1452" w:rsidP="0048230B">
      <w:pPr>
        <w:tabs>
          <w:tab w:val="right" w:pos="10080"/>
        </w:tabs>
        <w:jc w:val="both"/>
        <w:rPr>
          <w:rFonts w:ascii="Palatino Linotype" w:hAnsi="Palatino Linotype"/>
          <w:b/>
          <w:u w:val="single"/>
        </w:rPr>
      </w:pPr>
    </w:p>
    <w:p w14:paraId="23125578" w14:textId="77777777" w:rsidR="00AA1452" w:rsidRPr="004B5F11" w:rsidRDefault="00AA1452" w:rsidP="00AA1452">
      <w:pPr>
        <w:rPr>
          <w:rFonts w:ascii="Palatino Linotype" w:hAnsi="Palatino Linotype"/>
        </w:rPr>
      </w:pPr>
      <w:r w:rsidRPr="004B5F11">
        <w:rPr>
          <w:rFonts w:ascii="Palatino Linotype" w:hAnsi="Palatino Linotype"/>
        </w:rPr>
        <w:t>This Resolution ensures adequate funding, at an appropriate level, to support the CTF program budgetary expenditures. The CTF program helps to promote universal service by subsidizing advanced communicatio</w:t>
      </w:r>
      <w:r>
        <w:rPr>
          <w:rFonts w:ascii="Palatino Linotype" w:hAnsi="Palatino Linotype"/>
        </w:rPr>
        <w:t>ns services for qualified</w:t>
      </w:r>
      <w:r w:rsidRPr="004B5F11">
        <w:rPr>
          <w:rFonts w:ascii="Palatino Linotype" w:hAnsi="Palatino Linotype"/>
        </w:rPr>
        <w:t xml:space="preserve"> institutions</w:t>
      </w:r>
      <w:r w:rsidR="00C13CA9">
        <w:rPr>
          <w:rFonts w:ascii="Palatino Linotype" w:hAnsi="Palatino Linotype"/>
        </w:rPr>
        <w:t>.  By promoting use of advanced communications services, those advanced services are available during emergencies, enhancing public safety.  CTF provides discounts to 211 providers, who play a vital and important role in promoting public safety during emergency and non-emergency situations.</w:t>
      </w:r>
    </w:p>
    <w:p w14:paraId="11659F22" w14:textId="77777777" w:rsidR="00AA1452" w:rsidRPr="00825ECD" w:rsidRDefault="00AA1452" w:rsidP="0048230B">
      <w:pPr>
        <w:tabs>
          <w:tab w:val="right" w:pos="10080"/>
        </w:tabs>
        <w:jc w:val="both"/>
        <w:rPr>
          <w:rFonts w:ascii="Palatino Linotype" w:hAnsi="Palatino Linotype"/>
        </w:rPr>
      </w:pPr>
    </w:p>
    <w:p w14:paraId="02969A38" w14:textId="77777777" w:rsidR="0048230B" w:rsidRPr="00520FD8" w:rsidRDefault="0048230B" w:rsidP="0048230B">
      <w:pPr>
        <w:tabs>
          <w:tab w:val="right" w:pos="10080"/>
        </w:tabs>
        <w:jc w:val="both"/>
        <w:rPr>
          <w:rFonts w:ascii="Palatino Linotype" w:hAnsi="Palatino Linotype"/>
          <w:b/>
          <w:u w:val="single"/>
        </w:rPr>
      </w:pPr>
      <w:r w:rsidRPr="00520FD8">
        <w:rPr>
          <w:rFonts w:ascii="Palatino Linotype" w:hAnsi="Palatino Linotype"/>
          <w:b/>
          <w:u w:val="single"/>
        </w:rPr>
        <w:t>FINDINGS</w:t>
      </w:r>
    </w:p>
    <w:p w14:paraId="66A71907" w14:textId="77777777" w:rsidR="0048230B" w:rsidRPr="00825ECD" w:rsidRDefault="0048230B" w:rsidP="0048230B">
      <w:pPr>
        <w:tabs>
          <w:tab w:val="right" w:pos="10080"/>
        </w:tabs>
        <w:jc w:val="both"/>
        <w:rPr>
          <w:rFonts w:ascii="Palatino Linotype" w:hAnsi="Palatino Linotype"/>
          <w:u w:val="single"/>
        </w:rPr>
      </w:pPr>
    </w:p>
    <w:p w14:paraId="337814B6" w14:textId="77777777" w:rsidR="00417791" w:rsidRDefault="00417791" w:rsidP="00417791">
      <w:pPr>
        <w:numPr>
          <w:ilvl w:val="0"/>
          <w:numId w:val="4"/>
        </w:numPr>
        <w:rPr>
          <w:rFonts w:ascii="Palatino Linotype" w:hAnsi="Palatino Linotype"/>
        </w:rPr>
      </w:pPr>
      <w:r>
        <w:rPr>
          <w:rFonts w:ascii="Palatino Linotype" w:hAnsi="Palatino Linotype"/>
        </w:rPr>
        <w:t xml:space="preserve">The CTF was adopted in D.96-10-066, effective October 25, 1996, to provide </w:t>
      </w:r>
      <w:r w:rsidRPr="007A7C2C">
        <w:rPr>
          <w:rFonts w:ascii="Palatino Linotype" w:hAnsi="Palatino Linotype"/>
        </w:rPr>
        <w:t xml:space="preserve">discounted rates for advanced telecommunications services for qualifying schools, libraries, government-owned health care providers, and </w:t>
      </w:r>
      <w:proofErr w:type="gramStart"/>
      <w:r w:rsidRPr="007A7C2C">
        <w:rPr>
          <w:rFonts w:ascii="Palatino Linotype" w:hAnsi="Palatino Linotype"/>
        </w:rPr>
        <w:t>commu</w:t>
      </w:r>
      <w:r>
        <w:rPr>
          <w:rFonts w:ascii="Palatino Linotype" w:hAnsi="Palatino Linotype"/>
        </w:rPr>
        <w:t>nity based</w:t>
      </w:r>
      <w:proofErr w:type="gramEnd"/>
      <w:r>
        <w:rPr>
          <w:rFonts w:ascii="Palatino Linotype" w:hAnsi="Palatino Linotype"/>
        </w:rPr>
        <w:t xml:space="preserve"> organizations.</w:t>
      </w:r>
    </w:p>
    <w:p w14:paraId="20BF5B91" w14:textId="77777777" w:rsidR="00417791" w:rsidRDefault="00417791" w:rsidP="00417791">
      <w:pPr>
        <w:ind w:left="420"/>
        <w:rPr>
          <w:rFonts w:ascii="Palatino Linotype" w:hAnsi="Palatino Linotype"/>
        </w:rPr>
      </w:pPr>
    </w:p>
    <w:p w14:paraId="68288E28" w14:textId="77777777" w:rsidR="00417791" w:rsidRPr="007A7C2C" w:rsidRDefault="00417791" w:rsidP="00417791">
      <w:pPr>
        <w:numPr>
          <w:ilvl w:val="0"/>
          <w:numId w:val="4"/>
        </w:numPr>
        <w:rPr>
          <w:rFonts w:ascii="Palatino Linotype" w:hAnsi="Palatino Linotype"/>
        </w:rPr>
      </w:pPr>
      <w:r>
        <w:rPr>
          <w:rFonts w:ascii="Palatino Linotype" w:hAnsi="Palatino Linotype"/>
        </w:rPr>
        <w:t xml:space="preserve">Rulemaking 13-01-010 will review program goals, participant eligibility, eligible services, service provider </w:t>
      </w:r>
      <w:r w:rsidR="00112E65">
        <w:rPr>
          <w:rFonts w:ascii="Palatino Linotype" w:hAnsi="Palatino Linotype"/>
        </w:rPr>
        <w:t>eligibility</w:t>
      </w:r>
      <w:r>
        <w:rPr>
          <w:rFonts w:ascii="Palatino Linotype" w:hAnsi="Palatino Linotype"/>
        </w:rPr>
        <w:t xml:space="preserve">, and budget and administrative rules.  The Rulemaking </w:t>
      </w:r>
      <w:r w:rsidR="001E7693">
        <w:rPr>
          <w:rFonts w:ascii="Palatino Linotype" w:hAnsi="Palatino Linotype"/>
        </w:rPr>
        <w:t xml:space="preserve">is currently still open and </w:t>
      </w:r>
      <w:r>
        <w:rPr>
          <w:rFonts w:ascii="Palatino Linotype" w:hAnsi="Palatino Linotype"/>
        </w:rPr>
        <w:t>m</w:t>
      </w:r>
      <w:r w:rsidR="00AA1452">
        <w:rPr>
          <w:rFonts w:ascii="Palatino Linotype" w:hAnsi="Palatino Linotype"/>
        </w:rPr>
        <w:t>ay affect the budget for FY 2015-16</w:t>
      </w:r>
      <w:r>
        <w:rPr>
          <w:rFonts w:ascii="Palatino Linotype" w:hAnsi="Palatino Linotype"/>
        </w:rPr>
        <w:t>.</w:t>
      </w:r>
    </w:p>
    <w:p w14:paraId="76E2957B" w14:textId="77777777" w:rsidR="00417791" w:rsidRDefault="00417791" w:rsidP="00417791">
      <w:pPr>
        <w:rPr>
          <w:rFonts w:ascii="Palatino Linotype" w:hAnsi="Palatino Linotype"/>
        </w:rPr>
      </w:pPr>
    </w:p>
    <w:p w14:paraId="6D8D80AC" w14:textId="77777777" w:rsidR="00417791" w:rsidRDefault="00417791" w:rsidP="00417791">
      <w:pPr>
        <w:numPr>
          <w:ilvl w:val="0"/>
          <w:numId w:val="4"/>
        </w:numPr>
        <w:rPr>
          <w:rFonts w:ascii="Palatino Linotype" w:hAnsi="Palatino Linotype"/>
        </w:rPr>
      </w:pPr>
      <w:r>
        <w:rPr>
          <w:rFonts w:ascii="Palatino Linotype" w:hAnsi="Palatino Linotype"/>
        </w:rPr>
        <w:t>Public Utilities Code Sections 280(d) requires that the money appropriated from the CTF funds be used only for the purpose of the program.</w:t>
      </w:r>
    </w:p>
    <w:p w14:paraId="688E4363" w14:textId="77777777" w:rsidR="00417791" w:rsidRDefault="00417791" w:rsidP="00417791">
      <w:pPr>
        <w:rPr>
          <w:rFonts w:ascii="Palatino Linotype" w:hAnsi="Palatino Linotype"/>
        </w:rPr>
      </w:pPr>
    </w:p>
    <w:p w14:paraId="34BC2560" w14:textId="77777777" w:rsidR="00417791" w:rsidRDefault="00417791" w:rsidP="00417791">
      <w:pPr>
        <w:numPr>
          <w:ilvl w:val="0"/>
          <w:numId w:val="4"/>
        </w:numPr>
        <w:rPr>
          <w:rFonts w:ascii="Palatino Linotype" w:hAnsi="Palatino Linotype"/>
        </w:rPr>
      </w:pPr>
      <w:r>
        <w:rPr>
          <w:rFonts w:ascii="Palatino Linotype" w:hAnsi="Palatino Linotype"/>
        </w:rPr>
        <w:lastRenderedPageBreak/>
        <w:t xml:space="preserve">The CTF </w:t>
      </w:r>
      <w:r w:rsidR="00DB3E68">
        <w:rPr>
          <w:rFonts w:ascii="Palatino Linotype" w:hAnsi="Palatino Linotype"/>
        </w:rPr>
        <w:t>funding</w:t>
      </w:r>
      <w:r w:rsidR="00220DCB">
        <w:rPr>
          <w:rFonts w:ascii="Palatino Linotype" w:hAnsi="Palatino Linotype"/>
        </w:rPr>
        <w:t xml:space="preserve"> </w:t>
      </w:r>
      <w:r>
        <w:rPr>
          <w:rFonts w:ascii="Palatino Linotype" w:hAnsi="Palatino Linotype"/>
        </w:rPr>
        <w:t>cap can, if necessary, be raised by Commission resolution at any time.  On July 12, 2001, the Commission issued Resolution T-16542 to i</w:t>
      </w:r>
      <w:r w:rsidR="00D21A36">
        <w:rPr>
          <w:rFonts w:ascii="Palatino Linotype" w:hAnsi="Palatino Linotype"/>
        </w:rPr>
        <w:t>ncrease the fund’s</w:t>
      </w:r>
      <w:r>
        <w:rPr>
          <w:rFonts w:ascii="Palatino Linotype" w:hAnsi="Palatino Linotype"/>
        </w:rPr>
        <w:t xml:space="preserve"> cap from $50 million to $55 million.  </w:t>
      </w:r>
    </w:p>
    <w:p w14:paraId="30F2A9BE" w14:textId="77777777" w:rsidR="00417791" w:rsidRPr="00183006" w:rsidRDefault="00417791" w:rsidP="00417791">
      <w:pPr>
        <w:rPr>
          <w:rFonts w:ascii="Palatino Linotype" w:hAnsi="Palatino Linotype"/>
        </w:rPr>
      </w:pPr>
    </w:p>
    <w:p w14:paraId="6866BE01" w14:textId="77777777" w:rsidR="00417791" w:rsidRDefault="00AA1452" w:rsidP="00417791">
      <w:pPr>
        <w:numPr>
          <w:ilvl w:val="0"/>
          <w:numId w:val="4"/>
        </w:numPr>
        <w:rPr>
          <w:rFonts w:ascii="Palatino Linotype" w:hAnsi="Palatino Linotype"/>
        </w:rPr>
      </w:pPr>
      <w:r>
        <w:rPr>
          <w:rFonts w:ascii="Palatino Linotype" w:hAnsi="Palatino Linotype"/>
        </w:rPr>
        <w:t>On October 03, 2013</w:t>
      </w:r>
      <w:r w:rsidR="00417791">
        <w:rPr>
          <w:rFonts w:ascii="Palatino Linotype" w:hAnsi="Palatino Linotype"/>
        </w:rPr>
        <w:t>, the Comm</w:t>
      </w:r>
      <w:r>
        <w:rPr>
          <w:rFonts w:ascii="Palatino Linotype" w:hAnsi="Palatino Linotype"/>
        </w:rPr>
        <w:t>ission issued Resolution T-17414</w:t>
      </w:r>
      <w:r w:rsidR="00417791">
        <w:rPr>
          <w:rFonts w:ascii="Palatino Linotype" w:hAnsi="Palatino Linotype"/>
        </w:rPr>
        <w:t xml:space="preserve"> to increase the fund’</w:t>
      </w:r>
      <w:r w:rsidR="00D21A36">
        <w:rPr>
          <w:rFonts w:ascii="Palatino Linotype" w:hAnsi="Palatino Linotype"/>
        </w:rPr>
        <w:t>s</w:t>
      </w:r>
      <w:r>
        <w:rPr>
          <w:rFonts w:ascii="Palatino Linotype" w:hAnsi="Palatino Linotype"/>
        </w:rPr>
        <w:t xml:space="preserve"> cap from $92,429,000 to $107,983</w:t>
      </w:r>
      <w:r w:rsidR="00417791">
        <w:rPr>
          <w:rFonts w:ascii="Palatino Linotype" w:hAnsi="Palatino Linotype"/>
        </w:rPr>
        <w:t>,000.</w:t>
      </w:r>
    </w:p>
    <w:p w14:paraId="4894205A" w14:textId="77777777" w:rsidR="00417791" w:rsidRDefault="00417791" w:rsidP="00417791">
      <w:pPr>
        <w:pStyle w:val="ListParagraph"/>
        <w:rPr>
          <w:rFonts w:ascii="Palatino Linotype" w:hAnsi="Palatino Linotype"/>
          <w:sz w:val="24"/>
          <w:szCs w:val="24"/>
        </w:rPr>
      </w:pPr>
    </w:p>
    <w:p w14:paraId="75A9FD6D" w14:textId="77777777" w:rsidR="00417791" w:rsidRDefault="00417791" w:rsidP="00417791">
      <w:pPr>
        <w:numPr>
          <w:ilvl w:val="0"/>
          <w:numId w:val="4"/>
        </w:numPr>
        <w:rPr>
          <w:rStyle w:val="apple-style-span"/>
          <w:rFonts w:ascii="Palatino Linotype" w:hAnsi="Palatino Linotype"/>
        </w:rPr>
      </w:pPr>
      <w:r>
        <w:rPr>
          <w:rFonts w:ascii="Palatino Linotype" w:hAnsi="Palatino Linotype"/>
        </w:rPr>
        <w:t xml:space="preserve">D.08-06-020 </w:t>
      </w:r>
      <w:r>
        <w:rPr>
          <w:rStyle w:val="apple-style-span"/>
          <w:rFonts w:ascii="Palatino Linotype" w:hAnsi="Palatino Linotype"/>
        </w:rPr>
        <w:t>limits the participation of community colleges in the CTF program to $7.2 million per year, adjusted annually based on Western-CPI.</w:t>
      </w:r>
    </w:p>
    <w:p w14:paraId="156C2B8C" w14:textId="77777777" w:rsidR="00417791" w:rsidRDefault="00417791" w:rsidP="00417791">
      <w:pPr>
        <w:rPr>
          <w:rStyle w:val="apple-style-span"/>
          <w:rFonts w:ascii="Palatino Linotype" w:hAnsi="Palatino Linotype"/>
        </w:rPr>
      </w:pPr>
    </w:p>
    <w:p w14:paraId="71CF5187" w14:textId="77777777" w:rsidR="00417791" w:rsidRDefault="00AA1452" w:rsidP="00417791">
      <w:pPr>
        <w:numPr>
          <w:ilvl w:val="0"/>
          <w:numId w:val="4"/>
        </w:numPr>
        <w:rPr>
          <w:rFonts w:ascii="Palatino Linotype" w:hAnsi="Palatino Linotype"/>
        </w:rPr>
      </w:pPr>
      <w:r>
        <w:rPr>
          <w:rFonts w:ascii="Palatino Linotype" w:hAnsi="Palatino Linotype"/>
        </w:rPr>
        <w:t xml:space="preserve">In a letter </w:t>
      </w:r>
      <w:r w:rsidR="00662283">
        <w:rPr>
          <w:rFonts w:ascii="Palatino Linotype" w:hAnsi="Palatino Linotype"/>
        </w:rPr>
        <w:t>dated July 21</w:t>
      </w:r>
      <w:r>
        <w:rPr>
          <w:rFonts w:ascii="Palatino Linotype" w:hAnsi="Palatino Linotype"/>
        </w:rPr>
        <w:t>, 2014</w:t>
      </w:r>
      <w:r w:rsidR="00417791">
        <w:rPr>
          <w:rFonts w:ascii="Palatino Linotype" w:hAnsi="Palatino Linotype"/>
        </w:rPr>
        <w:t>, the CTF Administrative Committee submitted to the Executive Direc</w:t>
      </w:r>
      <w:r w:rsidR="00F507F8">
        <w:rPr>
          <w:rFonts w:ascii="Palatino Linotype" w:hAnsi="Palatino Linotype"/>
        </w:rPr>
        <w:t>tor a proposed budget of $11</w:t>
      </w:r>
      <w:r w:rsidR="00EC10FB">
        <w:rPr>
          <w:rFonts w:ascii="Palatino Linotype" w:hAnsi="Palatino Linotype"/>
        </w:rPr>
        <w:t>8,942</w:t>
      </w:r>
      <w:r w:rsidR="002E0E5F">
        <w:rPr>
          <w:rFonts w:ascii="Palatino Linotype" w:hAnsi="Palatino Linotype"/>
        </w:rPr>
        <w:t>,000</w:t>
      </w:r>
      <w:r>
        <w:rPr>
          <w:rFonts w:ascii="Palatino Linotype" w:hAnsi="Palatino Linotype"/>
        </w:rPr>
        <w:t xml:space="preserve"> for Fiscal Year 2015-16</w:t>
      </w:r>
      <w:r w:rsidR="00417791">
        <w:rPr>
          <w:rFonts w:ascii="Palatino Linotype" w:hAnsi="Palatino Linotype"/>
        </w:rPr>
        <w:t>.</w:t>
      </w:r>
    </w:p>
    <w:p w14:paraId="3977A6AC" w14:textId="77777777" w:rsidR="00417791" w:rsidRDefault="00417791" w:rsidP="00417791">
      <w:pPr>
        <w:rPr>
          <w:rFonts w:ascii="Palatino Linotype" w:hAnsi="Palatino Linotype"/>
        </w:rPr>
      </w:pPr>
    </w:p>
    <w:p w14:paraId="3E41ED6D" w14:textId="77777777" w:rsidR="00417791" w:rsidRDefault="00417791" w:rsidP="00417791">
      <w:pPr>
        <w:numPr>
          <w:ilvl w:val="0"/>
          <w:numId w:val="4"/>
        </w:numPr>
        <w:rPr>
          <w:rFonts w:ascii="Palatino" w:hAnsi="Palatino"/>
        </w:rPr>
      </w:pPr>
      <w:r>
        <w:rPr>
          <w:rFonts w:ascii="Palatino Linotype" w:hAnsi="Palatino Linotype"/>
        </w:rPr>
        <w:t xml:space="preserve">The California </w:t>
      </w:r>
      <w:proofErr w:type="spellStart"/>
      <w:r>
        <w:rPr>
          <w:rFonts w:ascii="Palatino Linotype" w:hAnsi="Palatino Linotype"/>
        </w:rPr>
        <w:t>Teleconnect</w:t>
      </w:r>
      <w:proofErr w:type="spellEnd"/>
      <w:r>
        <w:rPr>
          <w:rFonts w:ascii="Palatino Linotype" w:hAnsi="Palatino Linotype"/>
        </w:rPr>
        <w:t xml:space="preserve"> Fund Administrative Committee’s prop</w:t>
      </w:r>
      <w:r w:rsidR="00AA1452">
        <w:rPr>
          <w:rFonts w:ascii="Palatino Linotype" w:hAnsi="Palatino Linotype"/>
        </w:rPr>
        <w:t>osed budget for Fiscal Year 2015-16</w:t>
      </w:r>
      <w:r>
        <w:rPr>
          <w:rFonts w:ascii="Palatino Linotype" w:hAnsi="Palatino Linotype"/>
        </w:rPr>
        <w:t xml:space="preserve"> was</w:t>
      </w:r>
      <w:r>
        <w:rPr>
          <w:rFonts w:ascii="Palatino" w:hAnsi="Palatino"/>
        </w:rPr>
        <w:t xml:space="preserve"> noticed in the Commissions </w:t>
      </w:r>
      <w:r w:rsidR="00E95A58">
        <w:rPr>
          <w:rFonts w:ascii="Palatino" w:hAnsi="Palatino"/>
        </w:rPr>
        <w:t>Daily Calendar of October</w:t>
      </w:r>
      <w:r w:rsidR="00AA1452">
        <w:rPr>
          <w:rFonts w:ascii="Palatino" w:hAnsi="Palatino"/>
        </w:rPr>
        <w:t xml:space="preserve"> </w:t>
      </w:r>
      <w:r w:rsidR="002B5FD9">
        <w:rPr>
          <w:rFonts w:ascii="Palatino" w:hAnsi="Palatino"/>
        </w:rPr>
        <w:t>03</w:t>
      </w:r>
      <w:r w:rsidR="00AA1452">
        <w:rPr>
          <w:rFonts w:ascii="Palatino" w:hAnsi="Palatino"/>
        </w:rPr>
        <w:t>, 2014</w:t>
      </w:r>
      <w:r w:rsidR="00DA11E2">
        <w:rPr>
          <w:rFonts w:ascii="Palatino" w:hAnsi="Palatino"/>
        </w:rPr>
        <w:t>.</w:t>
      </w:r>
    </w:p>
    <w:p w14:paraId="023E3961" w14:textId="77777777" w:rsidR="001E7693" w:rsidRDefault="001E7693" w:rsidP="001E7693">
      <w:pPr>
        <w:rPr>
          <w:rFonts w:ascii="Palatino" w:hAnsi="Palatino"/>
        </w:rPr>
      </w:pPr>
    </w:p>
    <w:p w14:paraId="282BFC5B" w14:textId="77777777" w:rsidR="001E7693" w:rsidRPr="0001182E" w:rsidRDefault="001E7693" w:rsidP="001E7693">
      <w:pPr>
        <w:numPr>
          <w:ilvl w:val="0"/>
          <w:numId w:val="4"/>
        </w:numPr>
        <w:rPr>
          <w:rFonts w:ascii="Palatino Linotype" w:hAnsi="Palatino Linotype"/>
        </w:rPr>
      </w:pPr>
      <w:r w:rsidRPr="0001182E">
        <w:rPr>
          <w:rFonts w:ascii="Palatino Linotype" w:hAnsi="Palatino Linotype" w:cs="Palatino"/>
        </w:rPr>
        <w:t>In 2012, the Department of Finance conducted a budget process performance audit of six public purpose programs administered by the Communications Division including the CTF.</w:t>
      </w:r>
    </w:p>
    <w:p w14:paraId="3A7CF8CB" w14:textId="77777777" w:rsidR="001E7693" w:rsidRDefault="001E7693" w:rsidP="001E7693">
      <w:pPr>
        <w:pStyle w:val="ListParagraph"/>
        <w:rPr>
          <w:rFonts w:ascii="Palatino" w:hAnsi="Palatino"/>
          <w:sz w:val="24"/>
          <w:szCs w:val="24"/>
        </w:rPr>
      </w:pPr>
    </w:p>
    <w:p w14:paraId="67614408" w14:textId="77777777" w:rsidR="001E7693" w:rsidRDefault="001E7693" w:rsidP="001E7693">
      <w:pPr>
        <w:numPr>
          <w:ilvl w:val="0"/>
          <w:numId w:val="4"/>
        </w:numPr>
        <w:autoSpaceDE w:val="0"/>
        <w:autoSpaceDN w:val="0"/>
        <w:adjustRightInd w:val="0"/>
        <w:rPr>
          <w:rFonts w:ascii="Palatino Linotype" w:hAnsi="Palatino Linotype"/>
        </w:rPr>
      </w:pPr>
      <w:r>
        <w:rPr>
          <w:rFonts w:ascii="Palatino Linotype" w:hAnsi="Palatino Linotype"/>
        </w:rPr>
        <w:t>Final appropriations for</w:t>
      </w:r>
      <w:r w:rsidRPr="00C7425D">
        <w:rPr>
          <w:rFonts w:ascii="Palatino Linotype" w:hAnsi="Palatino Linotype"/>
        </w:rPr>
        <w:t xml:space="preserve"> 0840 State Controller (State Operations) and 8880 Financial Information System for California (State Operations) will be determ</w:t>
      </w:r>
      <w:r w:rsidR="00220DCB">
        <w:rPr>
          <w:rFonts w:ascii="Palatino Linotype" w:hAnsi="Palatino Linotype"/>
        </w:rPr>
        <w:t>ined when the Budget Act of 2015</w:t>
      </w:r>
      <w:r w:rsidRPr="00C7425D">
        <w:rPr>
          <w:rFonts w:ascii="Palatino Linotype" w:hAnsi="Palatino Linotype"/>
        </w:rPr>
        <w:t xml:space="preserve"> is approved by the Legislature and the Governor.</w:t>
      </w:r>
    </w:p>
    <w:p w14:paraId="197BE144" w14:textId="77777777" w:rsidR="001E7693" w:rsidRDefault="001E7693" w:rsidP="001E7693">
      <w:pPr>
        <w:autoSpaceDE w:val="0"/>
        <w:autoSpaceDN w:val="0"/>
        <w:adjustRightInd w:val="0"/>
        <w:rPr>
          <w:rFonts w:ascii="Palatino Linotype" w:hAnsi="Palatino Linotype"/>
        </w:rPr>
      </w:pPr>
    </w:p>
    <w:p w14:paraId="407DB8EE" w14:textId="77777777" w:rsidR="001E7693" w:rsidRPr="004F178A" w:rsidRDefault="001E7693" w:rsidP="001E7693">
      <w:pPr>
        <w:numPr>
          <w:ilvl w:val="0"/>
          <w:numId w:val="4"/>
        </w:numPr>
        <w:autoSpaceDE w:val="0"/>
        <w:autoSpaceDN w:val="0"/>
        <w:adjustRightInd w:val="0"/>
        <w:rPr>
          <w:rFonts w:ascii="Palatino Linotype" w:hAnsi="Palatino Linotype"/>
        </w:rPr>
      </w:pPr>
      <w:r w:rsidRPr="00C7425D">
        <w:rPr>
          <w:rFonts w:ascii="Palatino Linotype" w:hAnsi="Palatino Linotype"/>
        </w:rPr>
        <w:t xml:space="preserve">Communications Division’s proposed FY </w:t>
      </w:r>
      <w:r>
        <w:rPr>
          <w:rFonts w:ascii="Palatino Linotype" w:hAnsi="Palatino Linotype"/>
        </w:rPr>
        <w:t>2015-16</w:t>
      </w:r>
      <w:r w:rsidR="00C77100">
        <w:rPr>
          <w:rFonts w:ascii="Palatino Linotype" w:hAnsi="Palatino Linotype"/>
        </w:rPr>
        <w:t xml:space="preserve"> program budget of $148,086,714</w:t>
      </w:r>
      <w:r>
        <w:rPr>
          <w:rFonts w:ascii="Palatino Linotype" w:hAnsi="Palatino Linotype"/>
        </w:rPr>
        <w:t>, composed of $145,065,000</w:t>
      </w:r>
      <w:r w:rsidRPr="00C7425D">
        <w:rPr>
          <w:rFonts w:ascii="Palatino Linotype" w:hAnsi="Palatino Linotype"/>
        </w:rPr>
        <w:t xml:space="preserve"> for</w:t>
      </w:r>
      <w:r>
        <w:rPr>
          <w:rFonts w:ascii="Palatino Linotype" w:hAnsi="Palatino Linotype"/>
        </w:rPr>
        <w:t xml:space="preserve"> Local </w:t>
      </w:r>
      <w:proofErr w:type="gramStart"/>
      <w:r>
        <w:rPr>
          <w:rFonts w:ascii="Palatino Linotype" w:hAnsi="Palatino Linotype"/>
        </w:rPr>
        <w:t xml:space="preserve">Assistance, </w:t>
      </w:r>
      <w:r w:rsidRPr="00C7425D">
        <w:rPr>
          <w:rFonts w:ascii="Palatino Linotype" w:hAnsi="Palatino Linotype"/>
        </w:rPr>
        <w:t xml:space="preserve"> </w:t>
      </w:r>
      <w:r w:rsidR="00C77100">
        <w:rPr>
          <w:rFonts w:ascii="Palatino Linotype" w:hAnsi="Palatino Linotype"/>
        </w:rPr>
        <w:t>$</w:t>
      </w:r>
      <w:proofErr w:type="gramEnd"/>
      <w:r w:rsidR="00C77100">
        <w:rPr>
          <w:rFonts w:ascii="Palatino Linotype" w:hAnsi="Palatino Linotype"/>
        </w:rPr>
        <w:t>2,945</w:t>
      </w:r>
      <w:r>
        <w:rPr>
          <w:rFonts w:ascii="Palatino Linotype" w:hAnsi="Palatino Linotype"/>
        </w:rPr>
        <w:t>,000 for State Operations</w:t>
      </w:r>
      <w:r w:rsidR="00C77100">
        <w:rPr>
          <w:rFonts w:ascii="Palatino Linotype" w:hAnsi="Palatino Linotype"/>
        </w:rPr>
        <w:t>, $714</w:t>
      </w:r>
      <w:r w:rsidRPr="00C7425D">
        <w:rPr>
          <w:rFonts w:ascii="Palatino Linotype" w:hAnsi="Palatino Linotype"/>
        </w:rPr>
        <w:t xml:space="preserve">  for 0840 State Contro</w:t>
      </w:r>
      <w:r w:rsidR="00C77100">
        <w:rPr>
          <w:rFonts w:ascii="Palatino Linotype" w:hAnsi="Palatino Linotype"/>
        </w:rPr>
        <w:t>ller (State Operations) and $76</w:t>
      </w:r>
      <w:r w:rsidRPr="00C7425D">
        <w:rPr>
          <w:rFonts w:ascii="Palatino Linotype" w:hAnsi="Palatino Linotype"/>
        </w:rPr>
        <w:t>,000 for 8880 Financial Information System for California (State Operations) is reasonable and should be adopted.</w:t>
      </w:r>
      <w:r w:rsidRPr="00C7425D">
        <w:rPr>
          <w:rFonts w:ascii="Palatino" w:hAnsi="Palatino"/>
        </w:rPr>
        <w:t xml:space="preserve"> </w:t>
      </w:r>
    </w:p>
    <w:p w14:paraId="322C6A63" w14:textId="77777777" w:rsidR="001E7693" w:rsidRDefault="001E7693" w:rsidP="001E7693">
      <w:pPr>
        <w:pStyle w:val="ListParagraph"/>
        <w:rPr>
          <w:rFonts w:ascii="Palatino" w:hAnsi="Palatino"/>
          <w:sz w:val="24"/>
        </w:rPr>
      </w:pPr>
    </w:p>
    <w:p w14:paraId="6CFA2F54" w14:textId="77777777" w:rsidR="001E7693" w:rsidRPr="0015000D" w:rsidRDefault="001E7693" w:rsidP="001E7693">
      <w:pPr>
        <w:numPr>
          <w:ilvl w:val="0"/>
          <w:numId w:val="4"/>
        </w:numPr>
        <w:autoSpaceDE w:val="0"/>
        <w:autoSpaceDN w:val="0"/>
        <w:adjustRightInd w:val="0"/>
        <w:rPr>
          <w:rFonts w:ascii="Palatino Linotype" w:hAnsi="Palatino Linotype"/>
        </w:rPr>
      </w:pPr>
      <w:r w:rsidRPr="0015000D">
        <w:rPr>
          <w:rFonts w:ascii="Palatino Linotype" w:hAnsi="Palatino Linotype"/>
        </w:rPr>
        <w:t>The</w:t>
      </w:r>
      <w:r>
        <w:rPr>
          <w:rFonts w:ascii="Palatino Linotype" w:hAnsi="Palatino Linotype"/>
        </w:rPr>
        <w:t xml:space="preserve"> </w:t>
      </w:r>
      <w:r w:rsidRPr="0015000D">
        <w:rPr>
          <w:rFonts w:ascii="Palatino Linotype" w:hAnsi="Palatino Linotype"/>
        </w:rPr>
        <w:t>FY</w:t>
      </w:r>
      <w:r>
        <w:rPr>
          <w:rFonts w:ascii="Palatino Linotype" w:hAnsi="Palatino Linotype"/>
        </w:rPr>
        <w:t xml:space="preserve"> 2015-16</w:t>
      </w:r>
      <w:r w:rsidRPr="0001182E">
        <w:rPr>
          <w:rFonts w:ascii="Palatino Linotype" w:hAnsi="Palatino Linotype"/>
        </w:rPr>
        <w:t xml:space="preserve"> budget adopted today is subject to final appropriations a</w:t>
      </w:r>
      <w:r w:rsidR="00220DCB">
        <w:rPr>
          <w:rFonts w:ascii="Palatino Linotype" w:hAnsi="Palatino Linotype"/>
        </w:rPr>
        <w:t>dopted in the Budget Act of 2015</w:t>
      </w:r>
      <w:r w:rsidRPr="0001182E">
        <w:rPr>
          <w:rFonts w:ascii="Palatino Linotype" w:hAnsi="Palatino Linotype"/>
        </w:rPr>
        <w:t xml:space="preserve"> for 8660 Public Utilities Commission (State Operations</w:t>
      </w:r>
      <w:r w:rsidR="00112E65">
        <w:rPr>
          <w:rFonts w:ascii="Palatino Linotype" w:hAnsi="Palatino Linotype"/>
        </w:rPr>
        <w:t xml:space="preserve"> and Local Assistance</w:t>
      </w:r>
      <w:r w:rsidRPr="0001182E">
        <w:rPr>
          <w:rFonts w:ascii="Palatino Linotype" w:hAnsi="Palatino Linotype"/>
        </w:rPr>
        <w:t>), 0840 State Controller (State Operations) and 8880 Financial Information System for California (State Operations).</w:t>
      </w:r>
    </w:p>
    <w:p w14:paraId="54F6A1C6" w14:textId="77777777" w:rsidR="001E7693" w:rsidRPr="005F0333" w:rsidRDefault="001E7693" w:rsidP="001E7693">
      <w:pPr>
        <w:numPr>
          <w:ilvl w:val="0"/>
          <w:numId w:val="4"/>
        </w:numPr>
        <w:autoSpaceDE w:val="0"/>
        <w:autoSpaceDN w:val="0"/>
        <w:adjustRightInd w:val="0"/>
        <w:rPr>
          <w:rFonts w:ascii="Palatino Linotype" w:hAnsi="Palatino Linotype"/>
        </w:rPr>
      </w:pPr>
      <w:r w:rsidRPr="0001182E">
        <w:rPr>
          <w:rFonts w:ascii="Palatino Linotype" w:hAnsi="Palatino Linotype"/>
        </w:rPr>
        <w:t>The appropriations a</w:t>
      </w:r>
      <w:r>
        <w:rPr>
          <w:rFonts w:ascii="Palatino Linotype" w:hAnsi="Palatino Linotype"/>
        </w:rPr>
        <w:t>dopted in the Budget Act of 2015</w:t>
      </w:r>
      <w:r w:rsidRPr="0001182E">
        <w:rPr>
          <w:rFonts w:ascii="Palatino Linotype" w:hAnsi="Palatino Linotype"/>
        </w:rPr>
        <w:t>, if di</w:t>
      </w:r>
      <w:r>
        <w:rPr>
          <w:rFonts w:ascii="Palatino Linotype" w:hAnsi="Palatino Linotype"/>
        </w:rPr>
        <w:t>fferent from the adopted FY 2015-16</w:t>
      </w:r>
      <w:r w:rsidRPr="0001182E">
        <w:rPr>
          <w:rFonts w:ascii="Palatino Linotype" w:hAnsi="Palatino Linotype"/>
        </w:rPr>
        <w:t xml:space="preserve"> bu</w:t>
      </w:r>
      <w:r>
        <w:rPr>
          <w:rFonts w:ascii="Palatino Linotype" w:hAnsi="Palatino Linotype"/>
        </w:rPr>
        <w:t>dget, will supersede the FY 2015-16</w:t>
      </w:r>
      <w:r w:rsidRPr="0001182E">
        <w:rPr>
          <w:rFonts w:ascii="Palatino Linotype" w:hAnsi="Palatino Linotype"/>
        </w:rPr>
        <w:t xml:space="preserve"> Budget adopted in this resolution.  </w:t>
      </w:r>
    </w:p>
    <w:p w14:paraId="14A9174D" w14:textId="77777777" w:rsidR="001E7693" w:rsidRDefault="001E7693" w:rsidP="001E7693">
      <w:pPr>
        <w:pStyle w:val="ListParagraph"/>
        <w:rPr>
          <w:rFonts w:ascii="Palatino Linotype" w:hAnsi="Palatino Linotype"/>
          <w:sz w:val="24"/>
          <w:szCs w:val="24"/>
        </w:rPr>
      </w:pPr>
    </w:p>
    <w:p w14:paraId="35EFADCE" w14:textId="1F5AAD2D" w:rsidR="001E7693" w:rsidRDefault="001E7693" w:rsidP="001E7693">
      <w:pPr>
        <w:numPr>
          <w:ilvl w:val="0"/>
          <w:numId w:val="4"/>
        </w:numPr>
        <w:autoSpaceDE w:val="0"/>
        <w:autoSpaceDN w:val="0"/>
        <w:adjustRightInd w:val="0"/>
        <w:rPr>
          <w:rFonts w:ascii="Palatino Linotype" w:hAnsi="Palatino Linotype"/>
        </w:rPr>
      </w:pPr>
      <w:r w:rsidRPr="00D41AAA">
        <w:rPr>
          <w:rFonts w:ascii="Palatino Linotype" w:hAnsi="Palatino Linotype"/>
        </w:rPr>
        <w:lastRenderedPageBreak/>
        <w:t>In compliance with PU Code § 311 (g), the Commissi</w:t>
      </w:r>
      <w:r w:rsidR="00D21A36">
        <w:rPr>
          <w:rFonts w:ascii="Palatino Linotype" w:hAnsi="Palatino Linotype"/>
        </w:rPr>
        <w:t xml:space="preserve">on e-mailed on </w:t>
      </w:r>
      <w:r w:rsidR="00D21A36">
        <w:rPr>
          <w:rFonts w:ascii="Palatino Linotype" w:hAnsi="Palatino Linotype"/>
        </w:rPr>
        <w:br/>
        <w:t>October 03</w:t>
      </w:r>
      <w:r>
        <w:rPr>
          <w:rFonts w:ascii="Palatino Linotype" w:hAnsi="Palatino Linotype"/>
        </w:rPr>
        <w:t>, 2014</w:t>
      </w:r>
      <w:r w:rsidRPr="00D41AAA">
        <w:rPr>
          <w:rFonts w:ascii="Palatino Linotype" w:hAnsi="Palatino Linotype"/>
        </w:rPr>
        <w:t>, a notice letter informing telecommunications carriers serving CTF customers, members of the CTF-AC, and the</w:t>
      </w:r>
      <w:r w:rsidR="002001F4">
        <w:rPr>
          <w:rFonts w:ascii="Palatino Linotype" w:hAnsi="Palatino Linotype"/>
        </w:rPr>
        <w:t xml:space="preserve"> parties of records in </w:t>
      </w:r>
      <w:r w:rsidRPr="00D41AAA">
        <w:rPr>
          <w:rFonts w:ascii="Palatino Linotype" w:hAnsi="Palatino Linotype"/>
        </w:rPr>
        <w:t xml:space="preserve">R.13-01-010 of the availability of this revised draft resolution for comments, as well as the availability of the conformed resolution, if adopted by the Commission, on the Commission website at </w:t>
      </w:r>
      <w:hyperlink r:id="rId11" w:history="1">
        <w:r w:rsidRPr="00D41AAA">
          <w:rPr>
            <w:rFonts w:ascii="Palatino Linotype" w:hAnsi="Palatino Linotype"/>
          </w:rPr>
          <w:t>www.cpuc.ca.gov</w:t>
        </w:r>
      </w:hyperlink>
      <w:r w:rsidRPr="00D41AAA">
        <w:rPr>
          <w:rFonts w:ascii="Palatino Linotype" w:hAnsi="Palatino Linotype"/>
        </w:rPr>
        <w:t xml:space="preserve">.  </w:t>
      </w:r>
    </w:p>
    <w:p w14:paraId="46EB8097" w14:textId="77777777" w:rsidR="001E7693" w:rsidRDefault="001E7693" w:rsidP="001E7693">
      <w:pPr>
        <w:pStyle w:val="ListParagraph"/>
        <w:rPr>
          <w:rFonts w:ascii="Palatino Linotype" w:hAnsi="Palatino Linotype"/>
          <w:sz w:val="24"/>
          <w:szCs w:val="24"/>
        </w:rPr>
      </w:pPr>
    </w:p>
    <w:p w14:paraId="53B10901" w14:textId="77777777" w:rsidR="0048230B" w:rsidRPr="00825ECD" w:rsidRDefault="0048230B" w:rsidP="0048230B">
      <w:pPr>
        <w:tabs>
          <w:tab w:val="left" w:pos="240"/>
          <w:tab w:val="left" w:pos="720"/>
          <w:tab w:val="right" w:pos="10080"/>
        </w:tabs>
        <w:jc w:val="both"/>
        <w:rPr>
          <w:rFonts w:ascii="Palatino Linotype" w:hAnsi="Palatino Linotype"/>
        </w:rPr>
      </w:pPr>
      <w:r w:rsidRPr="00825ECD">
        <w:rPr>
          <w:rFonts w:ascii="Palatino Linotype" w:hAnsi="Palatino Linotype"/>
          <w:b/>
        </w:rPr>
        <w:t xml:space="preserve">THERFORE, IT IS ORDERED </w:t>
      </w:r>
      <w:r w:rsidRPr="00825ECD">
        <w:rPr>
          <w:rFonts w:ascii="Palatino Linotype" w:hAnsi="Palatino Linotype"/>
        </w:rPr>
        <w:t>that:</w:t>
      </w:r>
    </w:p>
    <w:p w14:paraId="49B357A2" w14:textId="77777777" w:rsidR="00446985" w:rsidRDefault="00446985" w:rsidP="00446985">
      <w:pPr>
        <w:ind w:left="450"/>
        <w:rPr>
          <w:rFonts w:ascii="Palatino Linotype" w:hAnsi="Palatino Linotype"/>
        </w:rPr>
      </w:pPr>
    </w:p>
    <w:p w14:paraId="0035CDC1" w14:textId="77777777" w:rsidR="00446985" w:rsidRPr="00446985" w:rsidRDefault="00B37F5E" w:rsidP="00446985">
      <w:pPr>
        <w:numPr>
          <w:ilvl w:val="0"/>
          <w:numId w:val="7"/>
        </w:numPr>
        <w:rPr>
          <w:rFonts w:ascii="Palatino Linotype" w:hAnsi="Palatino Linotype"/>
        </w:rPr>
      </w:pPr>
      <w:r>
        <w:rPr>
          <w:rFonts w:ascii="Palatino Linotype" w:hAnsi="Palatino Linotype"/>
        </w:rPr>
        <w:t>The program</w:t>
      </w:r>
      <w:r w:rsidR="00446985" w:rsidRPr="00446985">
        <w:rPr>
          <w:rFonts w:ascii="Palatino Linotype" w:hAnsi="Palatino Linotype"/>
        </w:rPr>
        <w:t xml:space="preserve"> budget for the California </w:t>
      </w:r>
      <w:proofErr w:type="spellStart"/>
      <w:r w:rsidR="00446985" w:rsidRPr="00446985">
        <w:rPr>
          <w:rFonts w:ascii="Palatino Linotype" w:hAnsi="Palatino Linotype"/>
        </w:rPr>
        <w:t>Teleconnect</w:t>
      </w:r>
      <w:proofErr w:type="spellEnd"/>
      <w:r w:rsidR="00446985" w:rsidRPr="00446985">
        <w:rPr>
          <w:rFonts w:ascii="Palatino Linotype" w:hAnsi="Palatino Linotype"/>
        </w:rPr>
        <w:t xml:space="preserve"> Fund Administrative Com</w:t>
      </w:r>
      <w:r w:rsidR="00446985">
        <w:rPr>
          <w:rFonts w:ascii="Palatino Linotype" w:hAnsi="Palatino Linotype"/>
        </w:rPr>
        <w:t>mittee Fund for Fiscal Year 2015-16</w:t>
      </w:r>
      <w:r w:rsidR="00446985" w:rsidRPr="00446985">
        <w:rPr>
          <w:rFonts w:ascii="Palatino Linotype" w:hAnsi="Palatino Linotype"/>
        </w:rPr>
        <w:t xml:space="preserve"> in the amount of $1</w:t>
      </w:r>
      <w:r w:rsidR="00C77100">
        <w:rPr>
          <w:rFonts w:ascii="Palatino Linotype" w:hAnsi="Palatino Linotype"/>
        </w:rPr>
        <w:t>48,086,714</w:t>
      </w:r>
      <w:r>
        <w:rPr>
          <w:rFonts w:ascii="Palatino Linotype" w:hAnsi="Palatino Linotype"/>
        </w:rPr>
        <w:t>; composed of $145,065,000</w:t>
      </w:r>
      <w:r w:rsidRPr="00C7425D">
        <w:rPr>
          <w:rFonts w:ascii="Palatino Linotype" w:hAnsi="Palatino Linotype"/>
        </w:rPr>
        <w:t xml:space="preserve"> for</w:t>
      </w:r>
      <w:r w:rsidR="00C77100">
        <w:rPr>
          <w:rFonts w:ascii="Palatino Linotype" w:hAnsi="Palatino Linotype"/>
        </w:rPr>
        <w:t xml:space="preserve"> Local Assistance, $2,945</w:t>
      </w:r>
      <w:r>
        <w:rPr>
          <w:rFonts w:ascii="Palatino Linotype" w:hAnsi="Palatino Linotype"/>
        </w:rPr>
        <w:t>,000 for State Operations</w:t>
      </w:r>
      <w:r w:rsidR="00C77100">
        <w:rPr>
          <w:rFonts w:ascii="Palatino Linotype" w:hAnsi="Palatino Linotype"/>
        </w:rPr>
        <w:t>, $714</w:t>
      </w:r>
      <w:r w:rsidRPr="00C7425D">
        <w:rPr>
          <w:rFonts w:ascii="Palatino Linotype" w:hAnsi="Palatino Linotype"/>
        </w:rPr>
        <w:t xml:space="preserve"> for 0840 State Controller (State Opera</w:t>
      </w:r>
      <w:r w:rsidR="00C77100">
        <w:rPr>
          <w:rFonts w:ascii="Palatino Linotype" w:hAnsi="Palatino Linotype"/>
        </w:rPr>
        <w:t>tions) and $76</w:t>
      </w:r>
      <w:r w:rsidRPr="00C7425D">
        <w:rPr>
          <w:rFonts w:ascii="Palatino Linotype" w:hAnsi="Palatino Linotype"/>
        </w:rPr>
        <w:t>,000 for 8880 Financial Information System for California (State Operations</w:t>
      </w:r>
      <w:r>
        <w:rPr>
          <w:rFonts w:ascii="Palatino Linotype" w:hAnsi="Palatino Linotype"/>
        </w:rPr>
        <w:t xml:space="preserve">) </w:t>
      </w:r>
      <w:r w:rsidR="00446985" w:rsidRPr="00446985">
        <w:rPr>
          <w:rFonts w:ascii="Palatino Linotype" w:hAnsi="Palatino Linotype"/>
        </w:rPr>
        <w:t>is adopted.</w:t>
      </w:r>
    </w:p>
    <w:p w14:paraId="2B2307CF" w14:textId="77777777" w:rsidR="00446985" w:rsidRPr="00446985" w:rsidRDefault="00446985" w:rsidP="00446985">
      <w:pPr>
        <w:ind w:left="450"/>
        <w:rPr>
          <w:rFonts w:ascii="Palatino Linotype" w:hAnsi="Palatino Linotype"/>
        </w:rPr>
      </w:pPr>
    </w:p>
    <w:p w14:paraId="79EF477F" w14:textId="77777777" w:rsidR="00446985" w:rsidRPr="00446985" w:rsidRDefault="00446985" w:rsidP="00446985">
      <w:pPr>
        <w:numPr>
          <w:ilvl w:val="0"/>
          <w:numId w:val="7"/>
        </w:numPr>
        <w:rPr>
          <w:rFonts w:ascii="Palatino Linotype" w:hAnsi="Palatino Linotype"/>
        </w:rPr>
      </w:pPr>
      <w:r w:rsidRPr="00446985">
        <w:rPr>
          <w:rFonts w:ascii="Palatino Linotype" w:hAnsi="Palatino Linotype"/>
        </w:rPr>
        <w:t>Communications Division staff is authorized to modify the FY 201</w:t>
      </w:r>
      <w:r>
        <w:rPr>
          <w:rFonts w:ascii="Palatino Linotype" w:hAnsi="Palatino Linotype"/>
        </w:rPr>
        <w:t>5-16</w:t>
      </w:r>
      <w:r w:rsidRPr="00446985">
        <w:rPr>
          <w:rFonts w:ascii="Palatino Linotype" w:hAnsi="Palatino Linotype"/>
        </w:rPr>
        <w:t xml:space="preserve"> expense budget adopted today to conform to the final appropriations adopted in the Budget Act of 201</w:t>
      </w:r>
      <w:r w:rsidR="00220DCB">
        <w:rPr>
          <w:rFonts w:ascii="Palatino Linotype" w:hAnsi="Palatino Linotype"/>
        </w:rPr>
        <w:t>5</w:t>
      </w:r>
      <w:r w:rsidRPr="00446985">
        <w:rPr>
          <w:rFonts w:ascii="Palatino Linotype" w:hAnsi="Palatino Linotype"/>
        </w:rPr>
        <w:t xml:space="preserve"> for 8660 Public Utilities Commission (State Operations</w:t>
      </w:r>
      <w:r w:rsidR="00112E65">
        <w:rPr>
          <w:rFonts w:ascii="Palatino Linotype" w:hAnsi="Palatino Linotype"/>
        </w:rPr>
        <w:t xml:space="preserve"> and Local Assistance</w:t>
      </w:r>
      <w:r w:rsidRPr="00446985">
        <w:rPr>
          <w:rFonts w:ascii="Palatino Linotype" w:hAnsi="Palatino Linotype"/>
        </w:rPr>
        <w:t>), 0840 State Controller (State Operations) and 8880 Financial Information System for California (State Operations).</w:t>
      </w:r>
    </w:p>
    <w:p w14:paraId="6B96BD4F" w14:textId="77777777" w:rsidR="000B38F7" w:rsidRDefault="000B38F7" w:rsidP="0048230B">
      <w:pPr>
        <w:tabs>
          <w:tab w:val="left" w:pos="240"/>
          <w:tab w:val="left" w:pos="720"/>
          <w:tab w:val="right" w:pos="10080"/>
        </w:tabs>
        <w:jc w:val="both"/>
        <w:rPr>
          <w:rFonts w:ascii="Palatino Linotype" w:hAnsi="Palatino Linotype"/>
        </w:rPr>
      </w:pPr>
    </w:p>
    <w:p w14:paraId="10E96861" w14:textId="77777777" w:rsidR="00C03C78" w:rsidRDefault="00C03C78" w:rsidP="0048230B">
      <w:pPr>
        <w:tabs>
          <w:tab w:val="left" w:pos="240"/>
          <w:tab w:val="left" w:pos="720"/>
          <w:tab w:val="right" w:pos="10080"/>
        </w:tabs>
        <w:jc w:val="both"/>
        <w:rPr>
          <w:rFonts w:ascii="Palatino Linotype" w:hAnsi="Palatino Linotype"/>
        </w:rPr>
      </w:pPr>
    </w:p>
    <w:p w14:paraId="6555FB45" w14:textId="77777777" w:rsidR="00C03C78" w:rsidRDefault="00C03C78" w:rsidP="0048230B">
      <w:pPr>
        <w:tabs>
          <w:tab w:val="left" w:pos="240"/>
          <w:tab w:val="left" w:pos="720"/>
          <w:tab w:val="right" w:pos="10080"/>
        </w:tabs>
        <w:jc w:val="both"/>
        <w:rPr>
          <w:rFonts w:ascii="Palatino Linotype" w:hAnsi="Palatino Linotype"/>
        </w:rPr>
      </w:pPr>
    </w:p>
    <w:p w14:paraId="2E958273" w14:textId="77777777" w:rsidR="00C03C78" w:rsidRDefault="00C03C78" w:rsidP="0048230B">
      <w:pPr>
        <w:tabs>
          <w:tab w:val="left" w:pos="240"/>
          <w:tab w:val="left" w:pos="720"/>
          <w:tab w:val="right" w:pos="10080"/>
        </w:tabs>
        <w:jc w:val="both"/>
        <w:rPr>
          <w:rFonts w:ascii="Palatino Linotype" w:hAnsi="Palatino Linotype"/>
        </w:rPr>
      </w:pPr>
    </w:p>
    <w:p w14:paraId="38BA3D56" w14:textId="77777777" w:rsidR="00C03C78" w:rsidRDefault="00C03C78" w:rsidP="0048230B">
      <w:pPr>
        <w:tabs>
          <w:tab w:val="left" w:pos="240"/>
          <w:tab w:val="left" w:pos="720"/>
          <w:tab w:val="right" w:pos="10080"/>
        </w:tabs>
        <w:jc w:val="both"/>
        <w:rPr>
          <w:rFonts w:ascii="Palatino Linotype" w:hAnsi="Palatino Linotype"/>
        </w:rPr>
      </w:pPr>
    </w:p>
    <w:p w14:paraId="5BCFD1A0" w14:textId="77777777" w:rsidR="00C03C78" w:rsidRDefault="00C03C78" w:rsidP="0048230B">
      <w:pPr>
        <w:tabs>
          <w:tab w:val="left" w:pos="240"/>
          <w:tab w:val="left" w:pos="720"/>
          <w:tab w:val="right" w:pos="10080"/>
        </w:tabs>
        <w:jc w:val="both"/>
        <w:rPr>
          <w:rFonts w:ascii="Palatino Linotype" w:hAnsi="Palatino Linotype"/>
        </w:rPr>
      </w:pPr>
    </w:p>
    <w:p w14:paraId="4EA9C89B" w14:textId="77777777" w:rsidR="00C03C78" w:rsidRDefault="00C03C78" w:rsidP="0048230B">
      <w:pPr>
        <w:tabs>
          <w:tab w:val="left" w:pos="240"/>
          <w:tab w:val="left" w:pos="720"/>
          <w:tab w:val="right" w:pos="10080"/>
        </w:tabs>
        <w:jc w:val="both"/>
        <w:rPr>
          <w:rFonts w:ascii="Palatino Linotype" w:hAnsi="Palatino Linotype"/>
        </w:rPr>
      </w:pPr>
    </w:p>
    <w:p w14:paraId="6281C836" w14:textId="77777777" w:rsidR="00C03C78" w:rsidRDefault="00C03C78" w:rsidP="0048230B">
      <w:pPr>
        <w:tabs>
          <w:tab w:val="left" w:pos="240"/>
          <w:tab w:val="left" w:pos="720"/>
          <w:tab w:val="right" w:pos="10080"/>
        </w:tabs>
        <w:jc w:val="both"/>
        <w:rPr>
          <w:rFonts w:ascii="Palatino Linotype" w:hAnsi="Palatino Linotype"/>
        </w:rPr>
      </w:pPr>
    </w:p>
    <w:p w14:paraId="27EA9AA8" w14:textId="77777777" w:rsidR="00C03C78" w:rsidRDefault="00C03C78" w:rsidP="0048230B">
      <w:pPr>
        <w:tabs>
          <w:tab w:val="left" w:pos="240"/>
          <w:tab w:val="left" w:pos="720"/>
          <w:tab w:val="right" w:pos="10080"/>
        </w:tabs>
        <w:jc w:val="both"/>
        <w:rPr>
          <w:rFonts w:ascii="Palatino Linotype" w:hAnsi="Palatino Linotype"/>
        </w:rPr>
      </w:pPr>
    </w:p>
    <w:p w14:paraId="6E3BED1B" w14:textId="77777777" w:rsidR="00C03C78" w:rsidRDefault="00C03C78" w:rsidP="0048230B">
      <w:pPr>
        <w:tabs>
          <w:tab w:val="left" w:pos="240"/>
          <w:tab w:val="left" w:pos="720"/>
          <w:tab w:val="right" w:pos="10080"/>
        </w:tabs>
        <w:jc w:val="both"/>
        <w:rPr>
          <w:rFonts w:ascii="Palatino Linotype" w:hAnsi="Palatino Linotype"/>
        </w:rPr>
      </w:pPr>
    </w:p>
    <w:p w14:paraId="0C0408FE" w14:textId="77777777" w:rsidR="00C03C78" w:rsidRDefault="00C03C78" w:rsidP="0048230B">
      <w:pPr>
        <w:tabs>
          <w:tab w:val="left" w:pos="240"/>
          <w:tab w:val="left" w:pos="720"/>
          <w:tab w:val="right" w:pos="10080"/>
        </w:tabs>
        <w:jc w:val="both"/>
        <w:rPr>
          <w:rFonts w:ascii="Palatino Linotype" w:hAnsi="Palatino Linotype"/>
        </w:rPr>
      </w:pPr>
    </w:p>
    <w:p w14:paraId="11D9A635" w14:textId="77777777" w:rsidR="00C03C78" w:rsidRDefault="00C03C78" w:rsidP="0048230B">
      <w:pPr>
        <w:tabs>
          <w:tab w:val="left" w:pos="240"/>
          <w:tab w:val="left" w:pos="720"/>
          <w:tab w:val="right" w:pos="10080"/>
        </w:tabs>
        <w:jc w:val="both"/>
        <w:rPr>
          <w:rFonts w:ascii="Palatino Linotype" w:hAnsi="Palatino Linotype"/>
        </w:rPr>
      </w:pPr>
    </w:p>
    <w:p w14:paraId="65C9FFFD" w14:textId="77777777" w:rsidR="00C03C78" w:rsidRDefault="00C03C78" w:rsidP="0048230B">
      <w:pPr>
        <w:tabs>
          <w:tab w:val="left" w:pos="240"/>
          <w:tab w:val="left" w:pos="720"/>
          <w:tab w:val="right" w:pos="10080"/>
        </w:tabs>
        <w:jc w:val="both"/>
        <w:rPr>
          <w:rFonts w:ascii="Palatino Linotype" w:hAnsi="Palatino Linotype"/>
        </w:rPr>
      </w:pPr>
    </w:p>
    <w:p w14:paraId="116E8AB8" w14:textId="77777777" w:rsidR="00C03C78" w:rsidRDefault="00C03C78" w:rsidP="0048230B">
      <w:pPr>
        <w:tabs>
          <w:tab w:val="left" w:pos="240"/>
          <w:tab w:val="left" w:pos="720"/>
          <w:tab w:val="right" w:pos="10080"/>
        </w:tabs>
        <w:jc w:val="both"/>
        <w:rPr>
          <w:rFonts w:ascii="Palatino Linotype" w:hAnsi="Palatino Linotype"/>
        </w:rPr>
      </w:pPr>
    </w:p>
    <w:p w14:paraId="58CC6758" w14:textId="77777777" w:rsidR="00C03C78" w:rsidRDefault="00C03C78" w:rsidP="0048230B">
      <w:pPr>
        <w:tabs>
          <w:tab w:val="left" w:pos="240"/>
          <w:tab w:val="left" w:pos="720"/>
          <w:tab w:val="right" w:pos="10080"/>
        </w:tabs>
        <w:jc w:val="both"/>
        <w:rPr>
          <w:rFonts w:ascii="Palatino Linotype" w:hAnsi="Palatino Linotype"/>
        </w:rPr>
      </w:pPr>
    </w:p>
    <w:p w14:paraId="34A58525" w14:textId="77777777" w:rsidR="00C03C78" w:rsidRDefault="00C03C78" w:rsidP="0048230B">
      <w:pPr>
        <w:tabs>
          <w:tab w:val="left" w:pos="240"/>
          <w:tab w:val="left" w:pos="720"/>
          <w:tab w:val="right" w:pos="10080"/>
        </w:tabs>
        <w:jc w:val="both"/>
        <w:rPr>
          <w:rFonts w:ascii="Palatino Linotype" w:hAnsi="Palatino Linotype"/>
        </w:rPr>
      </w:pPr>
    </w:p>
    <w:p w14:paraId="4CF19EAD" w14:textId="77777777" w:rsidR="00C03C78" w:rsidRDefault="00C03C78" w:rsidP="0048230B">
      <w:pPr>
        <w:tabs>
          <w:tab w:val="left" w:pos="240"/>
          <w:tab w:val="left" w:pos="720"/>
          <w:tab w:val="right" w:pos="10080"/>
        </w:tabs>
        <w:jc w:val="both"/>
        <w:rPr>
          <w:rFonts w:ascii="Palatino Linotype" w:hAnsi="Palatino Linotype"/>
        </w:rPr>
      </w:pPr>
    </w:p>
    <w:p w14:paraId="6C614290" w14:textId="77777777" w:rsidR="00C03C78" w:rsidRDefault="00C03C78" w:rsidP="0048230B">
      <w:pPr>
        <w:tabs>
          <w:tab w:val="left" w:pos="240"/>
          <w:tab w:val="left" w:pos="720"/>
          <w:tab w:val="right" w:pos="10080"/>
        </w:tabs>
        <w:jc w:val="both"/>
        <w:rPr>
          <w:rFonts w:ascii="Palatino Linotype" w:hAnsi="Palatino Linotype"/>
        </w:rPr>
      </w:pPr>
    </w:p>
    <w:p w14:paraId="6A4387D8" w14:textId="77777777" w:rsidR="00C03C78" w:rsidRDefault="00C03C78" w:rsidP="0048230B">
      <w:pPr>
        <w:tabs>
          <w:tab w:val="left" w:pos="240"/>
          <w:tab w:val="left" w:pos="720"/>
          <w:tab w:val="right" w:pos="10080"/>
        </w:tabs>
        <w:jc w:val="both"/>
        <w:rPr>
          <w:rFonts w:ascii="Palatino Linotype" w:hAnsi="Palatino Linotype"/>
        </w:rPr>
      </w:pPr>
    </w:p>
    <w:p w14:paraId="3BBF5B49" w14:textId="77777777" w:rsidR="0048230B" w:rsidRPr="00825ECD" w:rsidRDefault="0048230B" w:rsidP="0048230B">
      <w:pPr>
        <w:tabs>
          <w:tab w:val="left" w:pos="240"/>
          <w:tab w:val="left" w:pos="720"/>
          <w:tab w:val="right" w:pos="10080"/>
        </w:tabs>
        <w:jc w:val="both"/>
        <w:rPr>
          <w:rFonts w:ascii="Palatino Linotype" w:hAnsi="Palatino Linotype"/>
        </w:rPr>
      </w:pPr>
      <w:r w:rsidRPr="00825ECD">
        <w:rPr>
          <w:rFonts w:ascii="Palatino Linotype" w:hAnsi="Palatino Linotype"/>
        </w:rPr>
        <w:lastRenderedPageBreak/>
        <w:t>This resolution is effective today.</w:t>
      </w:r>
    </w:p>
    <w:p w14:paraId="371DD5FD" w14:textId="77777777" w:rsidR="0048230B" w:rsidRPr="00825ECD" w:rsidRDefault="0048230B" w:rsidP="0048230B">
      <w:pPr>
        <w:tabs>
          <w:tab w:val="left" w:pos="240"/>
          <w:tab w:val="left" w:pos="720"/>
          <w:tab w:val="right" w:pos="10080"/>
        </w:tabs>
        <w:jc w:val="both"/>
        <w:rPr>
          <w:rFonts w:ascii="Palatino Linotype" w:hAnsi="Palatino Linotype"/>
        </w:rPr>
      </w:pPr>
    </w:p>
    <w:p w14:paraId="0EA715EB" w14:textId="77777777" w:rsidR="0048230B" w:rsidRDefault="0048230B" w:rsidP="0048230B">
      <w:pPr>
        <w:tabs>
          <w:tab w:val="left" w:pos="240"/>
          <w:tab w:val="left" w:pos="720"/>
          <w:tab w:val="right" w:pos="10080"/>
        </w:tabs>
        <w:rPr>
          <w:rFonts w:ascii="Palatino Linotype" w:hAnsi="Palatino Linotype"/>
        </w:rPr>
      </w:pPr>
      <w:r w:rsidRPr="00825ECD">
        <w:rPr>
          <w:rFonts w:ascii="Palatino Linotype" w:hAnsi="Palatino Linotype"/>
        </w:rPr>
        <w:t xml:space="preserve">I certify that the foregoing resolution was duly introduced, passed, and adopted at a conference of the Public Utilities Commission of the State of California held on </w:t>
      </w:r>
      <w:r w:rsidR="00B21B68">
        <w:rPr>
          <w:rFonts w:ascii="Palatino Linotype" w:hAnsi="Palatino Linotype"/>
        </w:rPr>
        <w:t>November 6, 2014</w:t>
      </w:r>
      <w:r w:rsidRPr="00825ECD">
        <w:rPr>
          <w:rFonts w:ascii="Palatino Linotype" w:hAnsi="Palatino Linotype"/>
        </w:rPr>
        <w:t>, the following Commissioners voting favorable thereon:</w:t>
      </w:r>
    </w:p>
    <w:p w14:paraId="3B008507" w14:textId="77777777" w:rsidR="007D7D00" w:rsidRPr="00825ECD" w:rsidRDefault="007D7D00" w:rsidP="0048230B">
      <w:pPr>
        <w:tabs>
          <w:tab w:val="left" w:pos="240"/>
          <w:tab w:val="left" w:pos="720"/>
          <w:tab w:val="right" w:pos="10080"/>
        </w:tabs>
        <w:rPr>
          <w:rFonts w:ascii="Palatino Linotype" w:hAnsi="Palatino Linotype"/>
        </w:rPr>
      </w:pPr>
    </w:p>
    <w:p w14:paraId="1DFC4146" w14:textId="77777777" w:rsidR="0048230B" w:rsidRDefault="0048230B" w:rsidP="0048230B">
      <w:pPr>
        <w:tabs>
          <w:tab w:val="left" w:pos="240"/>
          <w:tab w:val="left" w:pos="720"/>
          <w:tab w:val="right" w:pos="10080"/>
        </w:tabs>
        <w:jc w:val="both"/>
        <w:rPr>
          <w:rFonts w:ascii="Palatino Linotype" w:hAnsi="Palatino Linotype"/>
        </w:rPr>
      </w:pPr>
    </w:p>
    <w:p w14:paraId="7160EB33" w14:textId="77777777" w:rsidR="00C868FB" w:rsidRDefault="00C868FB" w:rsidP="0048230B">
      <w:pPr>
        <w:tabs>
          <w:tab w:val="left" w:pos="240"/>
          <w:tab w:val="left" w:pos="720"/>
          <w:tab w:val="right" w:pos="10080"/>
        </w:tabs>
        <w:jc w:val="both"/>
        <w:rPr>
          <w:rFonts w:ascii="Palatino Linotype" w:hAnsi="Palatino Linotype"/>
        </w:rPr>
      </w:pPr>
    </w:p>
    <w:p w14:paraId="2E2BFC63" w14:textId="77777777" w:rsidR="0048230B" w:rsidRPr="00825ECD" w:rsidRDefault="007D7D00" w:rsidP="007D7D00">
      <w:pPr>
        <w:tabs>
          <w:tab w:val="left" w:pos="5280"/>
        </w:tabs>
        <w:jc w:val="both"/>
        <w:rPr>
          <w:rFonts w:ascii="Palatino Linotype" w:hAnsi="Palatino Linotype"/>
        </w:rPr>
      </w:pPr>
      <w:r>
        <w:rPr>
          <w:rFonts w:ascii="Palatino Linotype" w:hAnsi="Palatino Linotype"/>
        </w:rPr>
        <w:tab/>
        <w:t xml:space="preserve">          /s/ Paul </w:t>
      </w:r>
      <w:proofErr w:type="spellStart"/>
      <w:r>
        <w:rPr>
          <w:rFonts w:ascii="Palatino Linotype" w:hAnsi="Palatino Linotype"/>
        </w:rPr>
        <w:t>Clanon</w:t>
      </w:r>
      <w:proofErr w:type="spellEnd"/>
    </w:p>
    <w:p w14:paraId="687E3B5A" w14:textId="77777777" w:rsidR="0048230B" w:rsidRDefault="00E87112" w:rsidP="00E87112">
      <w:pPr>
        <w:tabs>
          <w:tab w:val="left" w:pos="5295"/>
          <w:tab w:val="left" w:pos="6150"/>
        </w:tabs>
        <w:rPr>
          <w:rFonts w:ascii="Palatino Linotype" w:hAnsi="Palatino Linotype"/>
        </w:rPr>
      </w:pPr>
      <w:r>
        <w:rPr>
          <w:rFonts w:ascii="Palatino Linotype" w:hAnsi="Palatino Linotype"/>
        </w:rPr>
        <w:t xml:space="preserve">        </w:t>
      </w:r>
      <w:r>
        <w:rPr>
          <w:rFonts w:ascii="Palatino Linotype" w:hAnsi="Palatino Linotype"/>
        </w:rPr>
        <w:tab/>
      </w:r>
      <w:r w:rsidR="0048230B">
        <w:rPr>
          <w:rFonts w:ascii="Palatino Linotype" w:hAnsi="Palatino Linotype"/>
        </w:rPr>
        <w:t>__________________________</w:t>
      </w:r>
    </w:p>
    <w:p w14:paraId="4DB7E049" w14:textId="77777777" w:rsidR="0048230B" w:rsidRDefault="0048230B" w:rsidP="0048230B">
      <w:pPr>
        <w:tabs>
          <w:tab w:val="right" w:pos="7800"/>
        </w:tabs>
        <w:jc w:val="both"/>
        <w:rPr>
          <w:rFonts w:ascii="Palatino Linotype" w:hAnsi="Palatino Linotype"/>
        </w:rPr>
      </w:pPr>
      <w:r>
        <w:rPr>
          <w:rFonts w:ascii="Palatino Linotype" w:hAnsi="Palatino Linotype"/>
        </w:rPr>
        <w:tab/>
        <w:t>PAUL CLANON</w:t>
      </w:r>
    </w:p>
    <w:p w14:paraId="22241C46" w14:textId="77777777" w:rsidR="00986F43" w:rsidRDefault="0048230B" w:rsidP="0048230B">
      <w:pPr>
        <w:tabs>
          <w:tab w:val="right" w:pos="7920"/>
        </w:tabs>
        <w:jc w:val="both"/>
        <w:rPr>
          <w:rFonts w:ascii="Palatino Linotype" w:hAnsi="Palatino Linotype"/>
        </w:rPr>
      </w:pPr>
      <w:r>
        <w:rPr>
          <w:rFonts w:ascii="Palatino Linotype" w:hAnsi="Palatino Linotype"/>
        </w:rPr>
        <w:tab/>
        <w:t xml:space="preserve">Executive Director   </w:t>
      </w:r>
    </w:p>
    <w:p w14:paraId="5E5D7568" w14:textId="77777777" w:rsidR="00986F43" w:rsidRDefault="00986F43" w:rsidP="0048230B">
      <w:pPr>
        <w:tabs>
          <w:tab w:val="right" w:pos="7920"/>
        </w:tabs>
        <w:jc w:val="both"/>
        <w:rPr>
          <w:rFonts w:ascii="Palatino Linotype" w:hAnsi="Palatino Linotype"/>
        </w:rPr>
      </w:pPr>
    </w:p>
    <w:tbl>
      <w:tblPr>
        <w:tblW w:w="0" w:type="auto"/>
        <w:tblInd w:w="4788" w:type="dxa"/>
        <w:tblLayout w:type="fixed"/>
        <w:tblLook w:val="0000" w:firstRow="0" w:lastRow="0" w:firstColumn="0" w:lastColumn="0" w:noHBand="0" w:noVBand="0"/>
      </w:tblPr>
      <w:tblGrid>
        <w:gridCol w:w="4050"/>
      </w:tblGrid>
      <w:tr w:rsidR="00526930" w:rsidRPr="008C0C78" w14:paraId="4847BE70" w14:textId="77777777" w:rsidTr="008440EB">
        <w:trPr>
          <w:trHeight w:val="366"/>
        </w:trPr>
        <w:tc>
          <w:tcPr>
            <w:tcW w:w="4050" w:type="dxa"/>
          </w:tcPr>
          <w:p w14:paraId="426DF7AA" w14:textId="77777777" w:rsidR="00526930" w:rsidRPr="008C0C78" w:rsidRDefault="001237BF" w:rsidP="008440EB">
            <w:pPr>
              <w:tabs>
                <w:tab w:val="left" w:pos="2947"/>
              </w:tabs>
              <w:ind w:left="162" w:hanging="934"/>
              <w:rPr>
                <w:rFonts w:ascii="Palatino Linotype" w:hAnsi="Palatino Linotype"/>
              </w:rPr>
            </w:pPr>
            <w:r>
              <w:rPr>
                <w:rFonts w:ascii="Palatino Linotype" w:hAnsi="Palatino Linotype"/>
              </w:rPr>
              <w:br w:type="page"/>
            </w:r>
            <w:r w:rsidR="00526930" w:rsidRPr="008C0C78">
              <w:rPr>
                <w:rFonts w:ascii="Palatino Linotype" w:hAnsi="Palatino Linotype"/>
              </w:rPr>
              <w:t xml:space="preserve">                      MICHAEL R. PEEVEY</w:t>
            </w:r>
          </w:p>
          <w:p w14:paraId="0FC30948" w14:textId="77777777" w:rsidR="00526930" w:rsidRPr="008C0C78" w:rsidRDefault="00526930" w:rsidP="008440EB">
            <w:pPr>
              <w:ind w:right="792"/>
              <w:jc w:val="right"/>
              <w:rPr>
                <w:rFonts w:ascii="Palatino Linotype" w:hAnsi="Palatino Linotype"/>
              </w:rPr>
            </w:pPr>
            <w:r w:rsidRPr="008C0C78">
              <w:rPr>
                <w:rFonts w:ascii="Palatino Linotype" w:hAnsi="Palatino Linotype"/>
              </w:rPr>
              <w:t xml:space="preserve">                      President</w:t>
            </w:r>
          </w:p>
        </w:tc>
      </w:tr>
      <w:tr w:rsidR="00526930" w:rsidRPr="008C0C78" w14:paraId="5254CE31" w14:textId="77777777" w:rsidTr="008440EB">
        <w:trPr>
          <w:trHeight w:val="178"/>
        </w:trPr>
        <w:tc>
          <w:tcPr>
            <w:tcW w:w="4050" w:type="dxa"/>
          </w:tcPr>
          <w:p w14:paraId="036199C5" w14:textId="77777777" w:rsidR="00526930" w:rsidRPr="008C0C78" w:rsidRDefault="00526930" w:rsidP="008440EB">
            <w:pPr>
              <w:tabs>
                <w:tab w:val="left" w:pos="327"/>
              </w:tabs>
              <w:jc w:val="center"/>
              <w:rPr>
                <w:rFonts w:ascii="Palatino Linotype" w:hAnsi="Palatino Linotype"/>
              </w:rPr>
            </w:pPr>
            <w:r w:rsidRPr="008C0C78">
              <w:rPr>
                <w:rFonts w:ascii="Palatino Linotype" w:hAnsi="Palatino Linotype"/>
                <w:color w:val="000000"/>
              </w:rPr>
              <w:t xml:space="preserve"> MICHEL PETER FLORIO</w:t>
            </w:r>
          </w:p>
        </w:tc>
      </w:tr>
      <w:tr w:rsidR="00526930" w:rsidRPr="008C0C78" w14:paraId="644A464A" w14:textId="77777777" w:rsidTr="008440EB">
        <w:trPr>
          <w:trHeight w:val="178"/>
        </w:trPr>
        <w:tc>
          <w:tcPr>
            <w:tcW w:w="4050" w:type="dxa"/>
          </w:tcPr>
          <w:p w14:paraId="1A770D69" w14:textId="77777777" w:rsidR="00526930" w:rsidRPr="008C0C78" w:rsidRDefault="00F8028E" w:rsidP="008440EB">
            <w:pPr>
              <w:jc w:val="right"/>
              <w:rPr>
                <w:rFonts w:ascii="Palatino Linotype" w:hAnsi="Palatino Linotype"/>
              </w:rPr>
            </w:pPr>
            <w:r>
              <w:rPr>
                <w:rFonts w:ascii="Palatino Linotype" w:hAnsi="Palatino Linotype"/>
              </w:rPr>
              <w:t xml:space="preserve">   </w:t>
            </w:r>
            <w:r w:rsidR="00526930">
              <w:rPr>
                <w:rFonts w:ascii="Palatino Linotype" w:hAnsi="Palatino Linotype"/>
              </w:rPr>
              <w:t xml:space="preserve"> </w:t>
            </w:r>
            <w:r w:rsidR="00526930" w:rsidRPr="008C0C78">
              <w:rPr>
                <w:rFonts w:ascii="Palatino Linotype" w:hAnsi="Palatino Linotype"/>
              </w:rPr>
              <w:t>CATHERINE J.K. SANDOVAL</w:t>
            </w:r>
            <w:r w:rsidR="00526930" w:rsidRPr="008C0C78">
              <w:rPr>
                <w:rFonts w:ascii="Palatino Linotype" w:hAnsi="Palatino Linotype"/>
                <w:color w:val="000000"/>
              </w:rPr>
              <w:t xml:space="preserve">  </w:t>
            </w:r>
          </w:p>
        </w:tc>
      </w:tr>
      <w:tr w:rsidR="00526930" w:rsidRPr="008C0C78" w14:paraId="5298A16A" w14:textId="77777777" w:rsidTr="008440EB">
        <w:trPr>
          <w:trHeight w:val="178"/>
        </w:trPr>
        <w:tc>
          <w:tcPr>
            <w:tcW w:w="4050" w:type="dxa"/>
          </w:tcPr>
          <w:p w14:paraId="10777A39" w14:textId="77777777" w:rsidR="00526930" w:rsidRPr="008C0C78" w:rsidRDefault="00526930" w:rsidP="008440EB">
            <w:pPr>
              <w:rPr>
                <w:rFonts w:ascii="Palatino Linotype" w:hAnsi="Palatino Linotype"/>
              </w:rPr>
            </w:pPr>
            <w:r w:rsidRPr="008C0C78">
              <w:rPr>
                <w:rFonts w:ascii="Palatino Linotype" w:hAnsi="Palatino Linotype"/>
                <w:color w:val="000000"/>
              </w:rPr>
              <w:t xml:space="preserve">       </w:t>
            </w:r>
            <w:r>
              <w:rPr>
                <w:rFonts w:ascii="Palatino Linotype" w:hAnsi="Palatino Linotype"/>
                <w:color w:val="000000"/>
              </w:rPr>
              <w:t xml:space="preserve"> </w:t>
            </w:r>
            <w:r w:rsidRPr="008C0C78">
              <w:rPr>
                <w:rFonts w:ascii="Palatino Linotype" w:hAnsi="Palatino Linotype"/>
                <w:color w:val="000000"/>
              </w:rPr>
              <w:t xml:space="preserve"> CARLA J. PETERMAN</w:t>
            </w:r>
            <w:r w:rsidRPr="008C0C78">
              <w:rPr>
                <w:rFonts w:ascii="Palatino Linotype" w:hAnsi="Palatino Linotype"/>
              </w:rPr>
              <w:t xml:space="preserve">   </w:t>
            </w:r>
          </w:p>
        </w:tc>
      </w:tr>
      <w:tr w:rsidR="00526930" w:rsidRPr="008C0C78" w14:paraId="636497A0" w14:textId="77777777" w:rsidTr="008440EB">
        <w:trPr>
          <w:trHeight w:val="187"/>
        </w:trPr>
        <w:tc>
          <w:tcPr>
            <w:tcW w:w="4050" w:type="dxa"/>
          </w:tcPr>
          <w:p w14:paraId="44754F00" w14:textId="77777777" w:rsidR="00526930" w:rsidRPr="008C0C78" w:rsidRDefault="00526930" w:rsidP="008440EB">
            <w:pPr>
              <w:ind w:right="-198"/>
              <w:rPr>
                <w:rFonts w:ascii="Palatino Linotype" w:hAnsi="Palatino Linotype"/>
                <w:color w:val="000000"/>
              </w:rPr>
            </w:pPr>
            <w:r w:rsidRPr="008C0C78">
              <w:rPr>
                <w:rFonts w:ascii="Palatino Linotype" w:hAnsi="Palatino Linotype"/>
                <w:color w:val="000000"/>
              </w:rPr>
              <w:t xml:space="preserve">    </w:t>
            </w:r>
            <w:r>
              <w:rPr>
                <w:rFonts w:ascii="Palatino Linotype" w:hAnsi="Palatino Linotype"/>
                <w:color w:val="000000"/>
              </w:rPr>
              <w:t xml:space="preserve"> </w:t>
            </w:r>
            <w:r w:rsidRPr="008C0C78">
              <w:rPr>
                <w:rFonts w:ascii="Palatino Linotype" w:hAnsi="Palatino Linotype"/>
                <w:color w:val="000000"/>
              </w:rPr>
              <w:t xml:space="preserve">    MICHAEL PICKER                        </w:t>
            </w:r>
          </w:p>
        </w:tc>
      </w:tr>
      <w:tr w:rsidR="00526930" w:rsidRPr="008C0C78" w14:paraId="6AC66CF0" w14:textId="77777777" w:rsidTr="008440EB">
        <w:trPr>
          <w:trHeight w:val="187"/>
        </w:trPr>
        <w:tc>
          <w:tcPr>
            <w:tcW w:w="4050" w:type="dxa"/>
          </w:tcPr>
          <w:p w14:paraId="2519D328" w14:textId="77777777" w:rsidR="00526930" w:rsidRPr="008C0C78" w:rsidRDefault="00526930" w:rsidP="00760574">
            <w:pPr>
              <w:jc w:val="right"/>
              <w:rPr>
                <w:rFonts w:ascii="Palatino Linotype" w:hAnsi="Palatino Linotype"/>
              </w:rPr>
            </w:pPr>
            <w:r w:rsidRPr="008C0C78">
              <w:rPr>
                <w:rFonts w:ascii="Palatino Linotype" w:hAnsi="Palatino Linotype"/>
              </w:rPr>
              <w:t xml:space="preserve">       Commissioners</w:t>
            </w:r>
          </w:p>
        </w:tc>
      </w:tr>
    </w:tbl>
    <w:p w14:paraId="594E10FF" w14:textId="77777777" w:rsidR="00A50A78" w:rsidRDefault="00A50A78" w:rsidP="0048230B">
      <w:pPr>
        <w:tabs>
          <w:tab w:val="right" w:pos="7920"/>
        </w:tabs>
        <w:jc w:val="both"/>
        <w:rPr>
          <w:rFonts w:ascii="Palatino Linotype" w:hAnsi="Palatino Linotype"/>
        </w:rPr>
        <w:sectPr w:rsidR="00A50A78" w:rsidSect="00E13E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22EEF05D" w14:textId="77777777" w:rsidR="00CB0884" w:rsidRDefault="00CB0884" w:rsidP="0048230B">
      <w:pPr>
        <w:tabs>
          <w:tab w:val="right" w:pos="7920"/>
        </w:tabs>
        <w:jc w:val="both"/>
        <w:rPr>
          <w:rFonts w:ascii="Palatino Linotype" w:hAnsi="Palatino Linotype"/>
        </w:rPr>
      </w:pPr>
    </w:p>
    <w:p w14:paraId="4387DE93" w14:textId="77777777" w:rsidR="00CB0884" w:rsidRDefault="00CB0884" w:rsidP="0048230B">
      <w:pPr>
        <w:tabs>
          <w:tab w:val="right" w:pos="7920"/>
        </w:tabs>
        <w:jc w:val="both"/>
        <w:rPr>
          <w:rFonts w:ascii="Palatino Linotype" w:hAnsi="Palatino Linotype"/>
        </w:rPr>
      </w:pPr>
    </w:p>
    <w:p w14:paraId="4E728F7C" w14:textId="77777777" w:rsidR="00CB0884" w:rsidRDefault="00CB0884" w:rsidP="0048230B">
      <w:pPr>
        <w:tabs>
          <w:tab w:val="right" w:pos="7920"/>
        </w:tabs>
        <w:jc w:val="both"/>
        <w:rPr>
          <w:rFonts w:ascii="Palatino Linotype" w:hAnsi="Palatino Linotype"/>
        </w:rPr>
      </w:pPr>
    </w:p>
    <w:p w14:paraId="1BF758F9" w14:textId="77777777" w:rsidR="00CB0884" w:rsidRDefault="00CB0884" w:rsidP="0048230B">
      <w:pPr>
        <w:tabs>
          <w:tab w:val="right" w:pos="7920"/>
        </w:tabs>
        <w:jc w:val="both"/>
        <w:rPr>
          <w:rFonts w:ascii="Palatino Linotype" w:hAnsi="Palatino Linotype"/>
        </w:rPr>
      </w:pPr>
    </w:p>
    <w:p w14:paraId="7B1D0286" w14:textId="77777777" w:rsidR="00CB0884" w:rsidRDefault="00CB0884" w:rsidP="0048230B">
      <w:pPr>
        <w:tabs>
          <w:tab w:val="right" w:pos="7920"/>
        </w:tabs>
        <w:jc w:val="both"/>
        <w:rPr>
          <w:rFonts w:ascii="Palatino Linotype" w:hAnsi="Palatino Linotype"/>
        </w:rPr>
      </w:pPr>
    </w:p>
    <w:p w14:paraId="22F6C61E" w14:textId="77777777" w:rsidR="00CB0884" w:rsidRDefault="00CB0884" w:rsidP="0048230B">
      <w:pPr>
        <w:tabs>
          <w:tab w:val="right" w:pos="7920"/>
        </w:tabs>
        <w:jc w:val="both"/>
        <w:rPr>
          <w:rFonts w:ascii="Palatino Linotype" w:hAnsi="Palatino Linotype"/>
        </w:rPr>
      </w:pPr>
    </w:p>
    <w:p w14:paraId="701B350D" w14:textId="77777777" w:rsidR="003A42CE" w:rsidRDefault="003A42CE" w:rsidP="0048230B">
      <w:pPr>
        <w:tabs>
          <w:tab w:val="right" w:pos="7920"/>
        </w:tabs>
        <w:jc w:val="both"/>
        <w:rPr>
          <w:rFonts w:ascii="Palatino Linotype" w:hAnsi="Palatino Linotype"/>
        </w:rPr>
      </w:pPr>
    </w:p>
    <w:p w14:paraId="5ECF30DA" w14:textId="77777777" w:rsidR="003A42CE" w:rsidRDefault="003A42CE" w:rsidP="0048230B">
      <w:pPr>
        <w:tabs>
          <w:tab w:val="right" w:pos="7920"/>
        </w:tabs>
        <w:jc w:val="both"/>
        <w:rPr>
          <w:rFonts w:ascii="Palatino Linotype" w:hAnsi="Palatino Linotype"/>
        </w:rPr>
      </w:pPr>
    </w:p>
    <w:p w14:paraId="4D920239" w14:textId="77777777" w:rsidR="0097474C" w:rsidRDefault="0097474C" w:rsidP="0048230B">
      <w:pPr>
        <w:tabs>
          <w:tab w:val="right" w:pos="7920"/>
        </w:tabs>
        <w:jc w:val="both"/>
        <w:rPr>
          <w:rFonts w:ascii="Palatino Linotype" w:hAnsi="Palatino Linotype"/>
        </w:rPr>
      </w:pPr>
    </w:p>
    <w:p w14:paraId="756C152D" w14:textId="77777777" w:rsidR="003A42CE" w:rsidRDefault="003A42CE" w:rsidP="0048230B">
      <w:pPr>
        <w:tabs>
          <w:tab w:val="right" w:pos="7920"/>
        </w:tabs>
        <w:jc w:val="both"/>
        <w:rPr>
          <w:rFonts w:ascii="Palatino Linotype" w:hAnsi="Palatino Linotype"/>
        </w:rPr>
      </w:pPr>
    </w:p>
    <w:p w14:paraId="4E7562B2" w14:textId="77777777" w:rsidR="003A42CE" w:rsidRDefault="003A42CE" w:rsidP="0048230B">
      <w:pPr>
        <w:tabs>
          <w:tab w:val="right" w:pos="7920"/>
        </w:tabs>
        <w:jc w:val="both"/>
        <w:rPr>
          <w:rFonts w:ascii="Palatino Linotype" w:hAnsi="Palatino Linotype"/>
        </w:rPr>
      </w:pPr>
    </w:p>
    <w:p w14:paraId="0858308B" w14:textId="77777777" w:rsidR="003A42CE" w:rsidRDefault="003A42CE" w:rsidP="0048230B">
      <w:pPr>
        <w:tabs>
          <w:tab w:val="right" w:pos="7920"/>
        </w:tabs>
        <w:jc w:val="both"/>
        <w:rPr>
          <w:rFonts w:ascii="Palatino Linotype" w:hAnsi="Palatino Linotype"/>
        </w:rPr>
      </w:pPr>
    </w:p>
    <w:p w14:paraId="3A4AEADC" w14:textId="77777777" w:rsidR="003A42CE" w:rsidRDefault="003A42CE" w:rsidP="0048230B">
      <w:pPr>
        <w:tabs>
          <w:tab w:val="right" w:pos="7920"/>
        </w:tabs>
        <w:jc w:val="both"/>
        <w:rPr>
          <w:rFonts w:ascii="Palatino Linotype" w:hAnsi="Palatino Linotype"/>
        </w:rPr>
      </w:pPr>
    </w:p>
    <w:p w14:paraId="6720D3C2" w14:textId="77777777" w:rsidR="00CB0884" w:rsidRDefault="00CB0884" w:rsidP="0048230B">
      <w:pPr>
        <w:tabs>
          <w:tab w:val="right" w:pos="7920"/>
        </w:tabs>
        <w:jc w:val="both"/>
        <w:rPr>
          <w:rFonts w:ascii="Palatino Linotype" w:hAnsi="Palatino Linotype"/>
        </w:rPr>
      </w:pPr>
    </w:p>
    <w:p w14:paraId="7168B182" w14:textId="77777777" w:rsidR="003A42CE" w:rsidRDefault="003A42CE" w:rsidP="003A42CE">
      <w:pPr>
        <w:tabs>
          <w:tab w:val="right" w:pos="7920"/>
        </w:tabs>
        <w:jc w:val="center"/>
        <w:rPr>
          <w:rFonts w:ascii="Palatino Linotype" w:hAnsi="Palatino Linotype"/>
          <w:b/>
        </w:rPr>
      </w:pPr>
    </w:p>
    <w:p w14:paraId="586EC7FA" w14:textId="77777777" w:rsidR="003A42CE" w:rsidRDefault="003A42CE" w:rsidP="003A42CE">
      <w:pPr>
        <w:tabs>
          <w:tab w:val="right" w:pos="7920"/>
        </w:tabs>
        <w:jc w:val="center"/>
        <w:rPr>
          <w:rFonts w:ascii="Palatino Linotype" w:hAnsi="Palatino Linotype"/>
          <w:b/>
        </w:rPr>
      </w:pPr>
    </w:p>
    <w:p w14:paraId="2CFAB67C" w14:textId="77777777" w:rsidR="003A42CE" w:rsidRDefault="003A42CE" w:rsidP="003A42CE">
      <w:pPr>
        <w:tabs>
          <w:tab w:val="right" w:pos="7920"/>
        </w:tabs>
        <w:jc w:val="center"/>
        <w:rPr>
          <w:rFonts w:ascii="Palatino Linotype" w:hAnsi="Palatino Linotype"/>
          <w:b/>
        </w:rPr>
      </w:pPr>
    </w:p>
    <w:p w14:paraId="293785C5" w14:textId="77777777" w:rsidR="00986F43" w:rsidRPr="003A42CE" w:rsidRDefault="00CB0884" w:rsidP="003A42CE">
      <w:pPr>
        <w:tabs>
          <w:tab w:val="right" w:pos="7920"/>
        </w:tabs>
        <w:jc w:val="center"/>
        <w:rPr>
          <w:rFonts w:ascii="Palatino Linotype" w:hAnsi="Palatino Linotype"/>
          <w:b/>
        </w:rPr>
        <w:sectPr w:rsidR="00986F43" w:rsidRPr="003A42CE" w:rsidSect="00E13E57">
          <w:headerReference w:type="first" r:id="rId18"/>
          <w:footerReference w:type="first" r:id="rId19"/>
          <w:pgSz w:w="12240" w:h="15840"/>
          <w:pgMar w:top="1440" w:right="1440" w:bottom="1440" w:left="1440" w:header="720" w:footer="720" w:gutter="0"/>
          <w:cols w:space="720"/>
          <w:titlePg/>
          <w:docGrid w:linePitch="360"/>
        </w:sectPr>
      </w:pPr>
      <w:r w:rsidRPr="003A42CE">
        <w:rPr>
          <w:rFonts w:ascii="Palatino Linotype" w:hAnsi="Palatino Linotype"/>
          <w:b/>
        </w:rPr>
        <w:t>Appendix</w:t>
      </w:r>
      <w:r w:rsidR="003A42CE" w:rsidRPr="003A42CE">
        <w:rPr>
          <w:rFonts w:ascii="Palatino Linotype" w:hAnsi="Palatino Linotype"/>
          <w:b/>
        </w:rPr>
        <w:t>-A</w:t>
      </w:r>
      <w:r w:rsidRPr="003A42CE">
        <w:rPr>
          <w:rFonts w:ascii="Palatino Linotype" w:hAnsi="Palatino Linotype"/>
          <w:b/>
        </w:rPr>
        <w:t xml:space="preserve"> </w:t>
      </w:r>
    </w:p>
    <w:p w14:paraId="52139E6C" w14:textId="77777777" w:rsidR="00986F43" w:rsidRDefault="00986F43" w:rsidP="0048230B">
      <w:pPr>
        <w:tabs>
          <w:tab w:val="right" w:pos="7920"/>
        </w:tabs>
        <w:jc w:val="both"/>
        <w:rPr>
          <w:rFonts w:ascii="Palatino Linotype" w:hAnsi="Palatino Linotype"/>
        </w:rPr>
      </w:pPr>
    </w:p>
    <w:p w14:paraId="55B1767E" w14:textId="77777777" w:rsidR="00986F43" w:rsidRDefault="00986F43" w:rsidP="0048230B">
      <w:pPr>
        <w:tabs>
          <w:tab w:val="right" w:pos="7920"/>
        </w:tabs>
        <w:jc w:val="both"/>
        <w:rPr>
          <w:rFonts w:ascii="Palatino Linotype" w:hAnsi="Palatino Linotype"/>
        </w:rPr>
      </w:pPr>
      <w:r w:rsidRPr="00986F43">
        <w:rPr>
          <w:noProof/>
        </w:rPr>
        <w:drawing>
          <wp:inline distT="0" distB="0" distL="0" distR="0" wp14:anchorId="266A4FA0" wp14:editId="577D7461">
            <wp:extent cx="5943600" cy="555434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554348"/>
                    </a:xfrm>
                    <a:prstGeom prst="rect">
                      <a:avLst/>
                    </a:prstGeom>
                    <a:noFill/>
                    <a:ln>
                      <a:noFill/>
                    </a:ln>
                  </pic:spPr>
                </pic:pic>
              </a:graphicData>
            </a:graphic>
          </wp:inline>
        </w:drawing>
      </w:r>
    </w:p>
    <w:p w14:paraId="141B90C6" w14:textId="77777777" w:rsidR="00986F43" w:rsidRPr="00986F43" w:rsidRDefault="00986F43" w:rsidP="00986F43">
      <w:pPr>
        <w:rPr>
          <w:rFonts w:ascii="Palatino Linotype" w:hAnsi="Palatino Linotype"/>
        </w:rPr>
      </w:pPr>
    </w:p>
    <w:p w14:paraId="008DBCF9" w14:textId="77777777" w:rsidR="00986F43" w:rsidRPr="00986F43" w:rsidRDefault="00986F43" w:rsidP="00986F43">
      <w:pPr>
        <w:rPr>
          <w:rFonts w:ascii="Palatino Linotype" w:hAnsi="Palatino Linotype"/>
        </w:rPr>
      </w:pPr>
    </w:p>
    <w:p w14:paraId="5897430B" w14:textId="77777777" w:rsidR="00986F43" w:rsidRPr="00986F43" w:rsidRDefault="00986F43" w:rsidP="00986F43">
      <w:pPr>
        <w:rPr>
          <w:rFonts w:ascii="Palatino Linotype" w:hAnsi="Palatino Linotype"/>
        </w:rPr>
      </w:pPr>
    </w:p>
    <w:p w14:paraId="3DF3EBBE" w14:textId="77777777" w:rsidR="00986F43" w:rsidRPr="00986F43" w:rsidRDefault="00986F43" w:rsidP="00986F43">
      <w:pPr>
        <w:rPr>
          <w:rFonts w:ascii="Palatino Linotype" w:hAnsi="Palatino Linotype"/>
        </w:rPr>
      </w:pPr>
    </w:p>
    <w:p w14:paraId="51A7A8CC" w14:textId="77777777" w:rsidR="00986F43" w:rsidRDefault="00986F43" w:rsidP="00986F43">
      <w:pPr>
        <w:rPr>
          <w:rFonts w:ascii="Palatino Linotype" w:hAnsi="Palatino Linotype"/>
        </w:rPr>
      </w:pPr>
    </w:p>
    <w:p w14:paraId="28036C9B" w14:textId="77777777" w:rsidR="008E6E9A" w:rsidRDefault="00986F43" w:rsidP="00986F43">
      <w:pPr>
        <w:tabs>
          <w:tab w:val="left" w:pos="3996"/>
        </w:tabs>
      </w:pPr>
      <w:r>
        <w:rPr>
          <w:rFonts w:ascii="Palatino Linotype" w:hAnsi="Palatino Linotype"/>
        </w:rPr>
        <w:tab/>
      </w:r>
    </w:p>
    <w:sectPr w:rsidR="008E6E9A" w:rsidSect="001222D7">
      <w:headerReference w:type="default" r:id="rId21"/>
      <w:foot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2F32C" w14:textId="77777777" w:rsidR="006A6677" w:rsidRDefault="006A6677">
      <w:r>
        <w:separator/>
      </w:r>
    </w:p>
  </w:endnote>
  <w:endnote w:type="continuationSeparator" w:id="0">
    <w:p w14:paraId="0BB721FE" w14:textId="77777777" w:rsidR="006A6677" w:rsidRDefault="006A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C4F5" w14:textId="77777777" w:rsidR="00A605C9" w:rsidRDefault="00A60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65191"/>
      <w:docPartObj>
        <w:docPartGallery w:val="Page Numbers (Bottom of Page)"/>
        <w:docPartUnique/>
      </w:docPartObj>
    </w:sdtPr>
    <w:sdtEndPr>
      <w:rPr>
        <w:noProof/>
      </w:rPr>
    </w:sdtEndPr>
    <w:sdtContent>
      <w:p w14:paraId="66530C29" w14:textId="77777777" w:rsidR="00E13E57" w:rsidRPr="00E13E57" w:rsidRDefault="00E13E57" w:rsidP="00E13E57">
        <w:pPr>
          <w:pStyle w:val="Footer"/>
          <w:rPr>
            <w:rFonts w:ascii="Palatino Linotype" w:hAnsi="Palatino Linotype"/>
          </w:rPr>
        </w:pPr>
        <w:r>
          <w:rPr>
            <w:rFonts w:ascii="Palatino Linotype" w:hAnsi="Palatino Linotype"/>
          </w:rPr>
          <w:tab/>
        </w:r>
        <w:r>
          <w:fldChar w:fldCharType="begin"/>
        </w:r>
        <w:r>
          <w:instrText xml:space="preserve"> PAGE   \* MERGEFORMAT </w:instrText>
        </w:r>
        <w:r>
          <w:fldChar w:fldCharType="separate"/>
        </w:r>
        <w:r w:rsidR="008439F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A0FA" w14:textId="77777777" w:rsidR="00903676" w:rsidRPr="00903676" w:rsidRDefault="00903676">
    <w:pPr>
      <w:pStyle w:val="Footer"/>
      <w:rPr>
        <w:sz w:val="20"/>
        <w:szCs w:val="20"/>
      </w:rPr>
    </w:pPr>
    <w:r w:rsidRPr="00903676">
      <w:rPr>
        <w:rFonts w:ascii="Tahoma" w:hAnsi="Tahoma" w:cs="Tahoma"/>
        <w:sz w:val="20"/>
        <w:szCs w:val="20"/>
      </w:rPr>
      <w:t>137992387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BC97" w14:textId="77777777" w:rsidR="00A50A78" w:rsidRDefault="00A50A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5E6C" w14:textId="77777777" w:rsidR="003A42CE" w:rsidRPr="00986F43" w:rsidRDefault="003A42CE" w:rsidP="003A42CE">
    <w:pPr>
      <w:jc w:val="center"/>
      <w:rPr>
        <w:rFonts w:ascii="Palatino Linotype" w:hAnsi="Palatino Linotype"/>
      </w:rPr>
    </w:pPr>
    <w:r>
      <w:rPr>
        <w:rFonts w:ascii="Palatino Linotype" w:hAnsi="Palatino Linotype"/>
      </w:rPr>
      <w:t>End of Appendix A</w:t>
    </w:r>
  </w:p>
  <w:p w14:paraId="0AE72F01" w14:textId="77777777" w:rsidR="00112CA7" w:rsidRPr="003B1DBD" w:rsidRDefault="00112CA7" w:rsidP="003B1DB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A37B" w14:textId="77777777" w:rsidR="006A6677" w:rsidRDefault="006A6677">
      <w:r>
        <w:separator/>
      </w:r>
    </w:p>
  </w:footnote>
  <w:footnote w:type="continuationSeparator" w:id="0">
    <w:p w14:paraId="3CB92424" w14:textId="77777777" w:rsidR="006A6677" w:rsidRDefault="006A6677">
      <w:r>
        <w:continuationSeparator/>
      </w:r>
    </w:p>
  </w:footnote>
  <w:footnote w:id="1">
    <w:p w14:paraId="307050F3" w14:textId="77777777" w:rsidR="00112CA7" w:rsidRPr="00C37A9D" w:rsidRDefault="00112CA7" w:rsidP="007518D8">
      <w:pPr>
        <w:rPr>
          <w:sz w:val="22"/>
          <w:szCs w:val="22"/>
        </w:rPr>
      </w:pPr>
      <w:r w:rsidRPr="00C37A9D">
        <w:rPr>
          <w:rStyle w:val="FootnoteReference"/>
          <w:b/>
        </w:rPr>
        <w:footnoteRef/>
      </w:r>
      <w:r>
        <w:t xml:space="preserve"> </w:t>
      </w:r>
      <w:r w:rsidRPr="00C37A9D">
        <w:rPr>
          <w:sz w:val="22"/>
          <w:szCs w:val="22"/>
        </w:rPr>
        <w:t>CBOs providing 2-1-1 Referral and Information Services must be authorized by the Commission through a resolution process.</w:t>
      </w:r>
    </w:p>
  </w:footnote>
  <w:footnote w:id="2">
    <w:p w14:paraId="5FDE3A0A" w14:textId="77777777" w:rsidR="00112CA7" w:rsidRPr="00C37A9D" w:rsidRDefault="00112CA7" w:rsidP="007518D8">
      <w:pPr>
        <w:pStyle w:val="FootnoteText"/>
        <w:rPr>
          <w:sz w:val="22"/>
          <w:szCs w:val="22"/>
        </w:rPr>
      </w:pPr>
      <w:r w:rsidRPr="00C37A9D">
        <w:rPr>
          <w:rStyle w:val="FootnoteReference"/>
          <w:b/>
          <w:sz w:val="22"/>
          <w:szCs w:val="22"/>
        </w:rPr>
        <w:footnoteRef/>
      </w:r>
      <w:r w:rsidRPr="00C37A9D">
        <w:rPr>
          <w:sz w:val="22"/>
          <w:szCs w:val="22"/>
        </w:rPr>
        <w:t xml:space="preserve"> R.13-01-010 Order Instituting Rulemaking to Conduct a Comprehensive Examination of the California </w:t>
      </w:r>
      <w:proofErr w:type="spellStart"/>
      <w:r w:rsidRPr="00C37A9D">
        <w:rPr>
          <w:sz w:val="22"/>
          <w:szCs w:val="22"/>
        </w:rPr>
        <w:t>Teleconnect</w:t>
      </w:r>
      <w:proofErr w:type="spellEnd"/>
      <w:r w:rsidRPr="00C37A9D">
        <w:rPr>
          <w:sz w:val="22"/>
          <w:szCs w:val="22"/>
        </w:rPr>
        <w:t xml:space="preserve"> Fund</w:t>
      </w:r>
      <w:r w:rsidR="00C37A9D">
        <w:rPr>
          <w:sz w:val="22"/>
          <w:szCs w:val="22"/>
        </w:rPr>
        <w:t>.</w:t>
      </w:r>
    </w:p>
  </w:footnote>
  <w:footnote w:id="3">
    <w:p w14:paraId="6B658193" w14:textId="77777777" w:rsidR="00112CA7" w:rsidRPr="00C37A9D" w:rsidRDefault="00112CA7" w:rsidP="007518D8">
      <w:pPr>
        <w:pStyle w:val="FootnoteText"/>
        <w:rPr>
          <w:sz w:val="22"/>
          <w:szCs w:val="22"/>
        </w:rPr>
      </w:pPr>
      <w:r w:rsidRPr="00C37A9D">
        <w:rPr>
          <w:rStyle w:val="FootnoteReference"/>
          <w:b/>
          <w:sz w:val="22"/>
          <w:szCs w:val="22"/>
        </w:rPr>
        <w:footnoteRef/>
      </w:r>
      <w:r w:rsidRPr="00C37A9D">
        <w:rPr>
          <w:sz w:val="22"/>
          <w:szCs w:val="22"/>
        </w:rPr>
        <w:t xml:space="preserve"> Resolution T-17442 revised the surcharge from 0.59% to 0.93% effective October 1, 2014.</w:t>
      </w:r>
    </w:p>
  </w:footnote>
  <w:footnote w:id="4">
    <w:p w14:paraId="3028CC7B" w14:textId="77777777" w:rsidR="00112CA7" w:rsidRPr="00C37A9D" w:rsidRDefault="00112CA7" w:rsidP="007518D8">
      <w:pPr>
        <w:pStyle w:val="FootnoteText"/>
        <w:rPr>
          <w:sz w:val="22"/>
          <w:szCs w:val="22"/>
        </w:rPr>
      </w:pPr>
      <w:r w:rsidRPr="00C37A9D">
        <w:rPr>
          <w:rStyle w:val="FootnoteReference"/>
          <w:b/>
          <w:sz w:val="22"/>
          <w:szCs w:val="22"/>
        </w:rPr>
        <w:footnoteRef/>
      </w:r>
      <w:r w:rsidRPr="00C37A9D">
        <w:rPr>
          <w:sz w:val="22"/>
          <w:szCs w:val="22"/>
        </w:rPr>
        <w:t xml:space="preserve"> §280</w:t>
      </w:r>
      <w:r w:rsidRPr="00C37A9D">
        <w:rPr>
          <w:bCs/>
          <w:sz w:val="22"/>
          <w:szCs w:val="22"/>
        </w:rPr>
        <w:t>(d)</w:t>
      </w:r>
      <w:r w:rsidRPr="00C37A9D">
        <w:rPr>
          <w:sz w:val="22"/>
          <w:szCs w:val="22"/>
        </w:rPr>
        <w:t> Moneys appropriated from the California </w:t>
      </w:r>
      <w:proofErr w:type="spellStart"/>
      <w:r w:rsidRPr="00C37A9D">
        <w:rPr>
          <w:bCs/>
          <w:sz w:val="22"/>
          <w:szCs w:val="22"/>
        </w:rPr>
        <w:t>Teleconnect</w:t>
      </w:r>
      <w:proofErr w:type="spellEnd"/>
      <w:r w:rsidRPr="00C37A9D">
        <w:rPr>
          <w:sz w:val="22"/>
          <w:szCs w:val="22"/>
        </w:rPr>
        <w:t> Fund Administrative Committee Fund to the commission shall be utilized exclusively by the commission for the program specified in subdivision (a), including all costs of the board and the commission associated with the administration and oversight of the program and the fund.</w:t>
      </w:r>
    </w:p>
  </w:footnote>
  <w:footnote w:id="5">
    <w:p w14:paraId="283949B3" w14:textId="77777777" w:rsidR="00112CA7" w:rsidRPr="00C37A9D" w:rsidRDefault="00112CA7" w:rsidP="007518D8">
      <w:pPr>
        <w:pStyle w:val="FootnoteText"/>
        <w:rPr>
          <w:sz w:val="22"/>
          <w:szCs w:val="22"/>
        </w:rPr>
      </w:pPr>
      <w:r w:rsidRPr="00C37A9D">
        <w:rPr>
          <w:rStyle w:val="FootnoteReference"/>
          <w:b/>
          <w:sz w:val="22"/>
          <w:szCs w:val="22"/>
        </w:rPr>
        <w:footnoteRef/>
      </w:r>
      <w:r w:rsidRPr="00C37A9D">
        <w:rPr>
          <w:sz w:val="22"/>
          <w:szCs w:val="22"/>
        </w:rPr>
        <w:t xml:space="preserve"> California Public Utilities Code §273; CTF-AC Charter</w:t>
      </w:r>
      <w:r w:rsidR="00F82252">
        <w:rPr>
          <w:sz w:val="22"/>
          <w:szCs w:val="22"/>
        </w:rPr>
        <w:t xml:space="preserve"> s</w:t>
      </w:r>
      <w:r w:rsidRPr="00C37A9D">
        <w:rPr>
          <w:sz w:val="22"/>
          <w:szCs w:val="22"/>
        </w:rPr>
        <w:t>4.1(a)</w:t>
      </w:r>
      <w:r w:rsidR="00C37A9D">
        <w:rPr>
          <w:sz w:val="22"/>
          <w:szCs w:val="22"/>
        </w:rPr>
        <w:t>.</w:t>
      </w:r>
    </w:p>
  </w:footnote>
  <w:footnote w:id="6">
    <w:p w14:paraId="38CD28A7" w14:textId="77777777" w:rsidR="00112CA7" w:rsidRPr="00C37A9D" w:rsidRDefault="00112CA7" w:rsidP="007518D8">
      <w:pPr>
        <w:pStyle w:val="FootnoteText"/>
        <w:rPr>
          <w:sz w:val="22"/>
          <w:szCs w:val="22"/>
        </w:rPr>
      </w:pPr>
      <w:r w:rsidRPr="00C37A9D">
        <w:rPr>
          <w:rStyle w:val="FootnoteReference"/>
          <w:b/>
          <w:sz w:val="22"/>
          <w:szCs w:val="22"/>
        </w:rPr>
        <w:footnoteRef/>
      </w:r>
      <w:r w:rsidRPr="00C37A9D">
        <w:rPr>
          <w:sz w:val="22"/>
          <w:szCs w:val="22"/>
        </w:rPr>
        <w:t xml:space="preserve">  D.08-06-020 at 23.  FN.96</w:t>
      </w:r>
      <w:r w:rsidR="00C37A9D">
        <w:rPr>
          <w:sz w:val="22"/>
          <w:szCs w:val="22"/>
        </w:rPr>
        <w:t>.</w:t>
      </w:r>
      <w:r w:rsidRPr="00C37A9D">
        <w:rPr>
          <w:sz w:val="22"/>
          <w:szCs w:val="22"/>
        </w:rPr>
        <w:t xml:space="preserve"> </w:t>
      </w:r>
    </w:p>
  </w:footnote>
  <w:footnote w:id="7">
    <w:p w14:paraId="319D533B" w14:textId="77777777" w:rsidR="00112CA7" w:rsidRPr="00C37A9D" w:rsidRDefault="00112CA7" w:rsidP="007518D8">
      <w:pPr>
        <w:pStyle w:val="FootnoteText"/>
        <w:rPr>
          <w:i/>
          <w:sz w:val="22"/>
          <w:szCs w:val="22"/>
        </w:rPr>
      </w:pPr>
      <w:r w:rsidRPr="00C37A9D">
        <w:rPr>
          <w:rStyle w:val="FootnoteReference"/>
          <w:b/>
          <w:sz w:val="22"/>
          <w:szCs w:val="22"/>
        </w:rPr>
        <w:footnoteRef/>
      </w:r>
      <w:r w:rsidRPr="00C37A9D">
        <w:rPr>
          <w:sz w:val="22"/>
          <w:szCs w:val="22"/>
        </w:rPr>
        <w:t xml:space="preserve"> </w:t>
      </w:r>
      <w:r w:rsidRPr="00C37A9D">
        <w:rPr>
          <w:sz w:val="22"/>
          <w:szCs w:val="22"/>
          <w:u w:val="single"/>
        </w:rPr>
        <w:t>Id.</w:t>
      </w:r>
      <w:r w:rsidRPr="00C37A9D">
        <w:rPr>
          <w:sz w:val="22"/>
          <w:szCs w:val="22"/>
        </w:rPr>
        <w:t>, Conclusion of Law 7.</w:t>
      </w:r>
    </w:p>
  </w:footnote>
  <w:footnote w:id="8">
    <w:p w14:paraId="7B8EB9A0" w14:textId="77777777" w:rsidR="00112CA7" w:rsidRPr="00C37A9D" w:rsidRDefault="00112CA7" w:rsidP="007518D8">
      <w:pPr>
        <w:pStyle w:val="FootnoteText"/>
        <w:rPr>
          <w:sz w:val="22"/>
          <w:szCs w:val="22"/>
        </w:rPr>
      </w:pPr>
      <w:r w:rsidRPr="00C37A9D">
        <w:rPr>
          <w:rStyle w:val="FootnoteReference"/>
          <w:b/>
          <w:sz w:val="22"/>
          <w:szCs w:val="22"/>
        </w:rPr>
        <w:footnoteRef/>
      </w:r>
      <w:r w:rsidRPr="00C37A9D">
        <w:rPr>
          <w:sz w:val="22"/>
          <w:szCs w:val="22"/>
        </w:rPr>
        <w:t xml:space="preserve"> </w:t>
      </w:r>
      <w:r w:rsidRPr="00C37A9D">
        <w:rPr>
          <w:sz w:val="22"/>
          <w:szCs w:val="22"/>
          <w:u w:val="single"/>
        </w:rPr>
        <w:t>Id.</w:t>
      </w:r>
      <w:r w:rsidRPr="00C37A9D">
        <w:rPr>
          <w:sz w:val="22"/>
          <w:szCs w:val="22"/>
        </w:rPr>
        <w:t xml:space="preserve"> at 28.</w:t>
      </w:r>
    </w:p>
  </w:footnote>
  <w:footnote w:id="9">
    <w:p w14:paraId="2D741BFF" w14:textId="77777777" w:rsidR="00112CA7" w:rsidRPr="00C37A9D" w:rsidRDefault="00112CA7" w:rsidP="007518D8">
      <w:pPr>
        <w:pStyle w:val="FootnoteText"/>
        <w:rPr>
          <w:sz w:val="22"/>
          <w:szCs w:val="22"/>
        </w:rPr>
      </w:pPr>
      <w:r w:rsidRPr="00C37A9D">
        <w:rPr>
          <w:rStyle w:val="FootnoteReference"/>
          <w:b/>
          <w:sz w:val="22"/>
          <w:szCs w:val="22"/>
        </w:rPr>
        <w:footnoteRef/>
      </w:r>
      <w:r w:rsidRPr="00C37A9D">
        <w:rPr>
          <w:sz w:val="22"/>
          <w:szCs w:val="22"/>
        </w:rPr>
        <w:t xml:space="preserve"> </w:t>
      </w:r>
      <w:r w:rsidRPr="00C37A9D">
        <w:rPr>
          <w:sz w:val="22"/>
          <w:szCs w:val="22"/>
          <w:u w:val="single"/>
        </w:rPr>
        <w:t>Id</w:t>
      </w:r>
      <w:r w:rsidRPr="00C37A9D">
        <w:rPr>
          <w:sz w:val="22"/>
          <w:szCs w:val="22"/>
        </w:rPr>
        <w:t>.</w:t>
      </w:r>
      <w:r w:rsidRPr="00C37A9D">
        <w:rPr>
          <w:sz w:val="22"/>
          <w:szCs w:val="22"/>
          <w:u w:val="single"/>
        </w:rPr>
        <w:t xml:space="preserve"> </w:t>
      </w:r>
      <w:r w:rsidRPr="00C37A9D">
        <w:rPr>
          <w:sz w:val="22"/>
          <w:szCs w:val="22"/>
        </w:rPr>
        <w:t>at 28 and</w:t>
      </w:r>
      <w:r w:rsidRPr="00C37A9D">
        <w:rPr>
          <w:sz w:val="22"/>
          <w:szCs w:val="22"/>
          <w:u w:val="single"/>
        </w:rPr>
        <w:t xml:space="preserve"> </w:t>
      </w:r>
      <w:r w:rsidRPr="00C37A9D">
        <w:rPr>
          <w:sz w:val="22"/>
          <w:szCs w:val="22"/>
        </w:rPr>
        <w:t>Conclusion of Law 7.</w:t>
      </w:r>
    </w:p>
  </w:footnote>
  <w:footnote w:id="10">
    <w:p w14:paraId="5A62DCA1" w14:textId="2384A3A8" w:rsidR="00112CA7" w:rsidRPr="00C37A9D" w:rsidRDefault="00112CA7" w:rsidP="007518D8">
      <w:pPr>
        <w:pStyle w:val="FootnoteText"/>
        <w:rPr>
          <w:sz w:val="22"/>
          <w:szCs w:val="22"/>
          <w:u w:val="single"/>
        </w:rPr>
      </w:pPr>
      <w:r w:rsidRPr="00C37A9D">
        <w:rPr>
          <w:rStyle w:val="FootnoteReference"/>
          <w:b/>
          <w:sz w:val="22"/>
          <w:szCs w:val="22"/>
        </w:rPr>
        <w:footnoteRef/>
      </w:r>
      <w:r w:rsidRPr="00C37A9D">
        <w:rPr>
          <w:sz w:val="22"/>
          <w:szCs w:val="22"/>
        </w:rPr>
        <w:t xml:space="preserve"> </w:t>
      </w:r>
      <w:r w:rsidRPr="00C37A9D">
        <w:rPr>
          <w:sz w:val="22"/>
          <w:szCs w:val="22"/>
          <w:u w:val="single"/>
        </w:rPr>
        <w:t>Source</w:t>
      </w:r>
      <w:r w:rsidRPr="00C37A9D">
        <w:rPr>
          <w:sz w:val="22"/>
          <w:szCs w:val="22"/>
        </w:rPr>
        <w:t xml:space="preserve">: Western Consumer Price Index  </w:t>
      </w:r>
      <w:hyperlink r:id="rId1" w:history="1">
        <w:r w:rsidR="00C37A9D" w:rsidRPr="00E01E64">
          <w:rPr>
            <w:rStyle w:val="Hyperlink"/>
            <w:sz w:val="22"/>
            <w:szCs w:val="22"/>
          </w:rPr>
          <w:t>http://www.bls.gov/ro9/cpiwest.htm</w:t>
        </w:r>
      </w:hyperlink>
      <w:r w:rsidR="00C37A9D">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09A9" w14:textId="77777777" w:rsidR="00A605C9" w:rsidRDefault="00A60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D2C2" w14:textId="77777777" w:rsidR="00112CA7" w:rsidRPr="001848C4" w:rsidRDefault="00112CA7" w:rsidP="0048230B">
    <w:pPr>
      <w:pStyle w:val="Header"/>
      <w:jc w:val="both"/>
      <w:rPr>
        <w:rFonts w:ascii="Palatino Linotype" w:hAnsi="Palatino Linotype"/>
      </w:rPr>
    </w:pPr>
    <w:r w:rsidRPr="001848C4">
      <w:rPr>
        <w:rFonts w:ascii="Palatino Linotype" w:hAnsi="Palatino Linotype"/>
      </w:rPr>
      <w:t>R</w:t>
    </w:r>
    <w:r>
      <w:rPr>
        <w:rFonts w:ascii="Palatino Linotype" w:hAnsi="Palatino Linotype"/>
      </w:rPr>
      <w:t xml:space="preserve">esolution </w:t>
    </w:r>
    <w:r w:rsidR="00A3696D">
      <w:rPr>
        <w:rFonts w:ascii="Palatino Linotype" w:hAnsi="Palatino Linotype"/>
      </w:rPr>
      <w:t>T-17456</w:t>
    </w:r>
    <w:r w:rsidRPr="001848C4">
      <w:rPr>
        <w:rFonts w:ascii="Palatino Linotype" w:hAnsi="Palatino Linotype"/>
      </w:rPr>
      <w:ptab w:relativeTo="margin" w:alignment="center" w:leader="none"/>
    </w:r>
    <w:r w:rsidR="00570425">
      <w:rPr>
        <w:rFonts w:ascii="Palatino Linotype" w:hAnsi="Palatino Linotype"/>
      </w:rPr>
      <w:t xml:space="preserve">                                                                                                 </w:t>
    </w:r>
  </w:p>
  <w:p w14:paraId="35B74C6C" w14:textId="77777777" w:rsidR="00112CA7" w:rsidRDefault="00112CA7">
    <w:pPr>
      <w:pStyle w:val="Header"/>
    </w:pPr>
    <w:r w:rsidRPr="001848C4">
      <w:rPr>
        <w:rFonts w:ascii="Palatino Linotype" w:hAnsi="Palatino Linotype"/>
      </w:rPr>
      <w:t>CD/KCH</w:t>
    </w:r>
    <w:r w:rsidRPr="001848C4">
      <w:rPr>
        <w:rFonts w:ascii="Palatino Linotype" w:hAnsi="Palatino Linotype"/>
      </w:rPr>
      <w:tab/>
    </w:r>
    <w:r w:rsidR="00570425">
      <w:rPr>
        <w:rFonts w:ascii="Palatino Linotype" w:hAnsi="Palatino Linotype"/>
      </w:rPr>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836C" w14:textId="77777777" w:rsidR="00A3696D" w:rsidRPr="001848C4" w:rsidRDefault="00A3696D" w:rsidP="00A3696D">
    <w:pPr>
      <w:pStyle w:val="Header"/>
      <w:jc w:val="both"/>
      <w:rPr>
        <w:rFonts w:ascii="Palatino Linotype" w:hAnsi="Palatino Linotype"/>
      </w:rPr>
    </w:pPr>
    <w:r w:rsidRPr="001848C4">
      <w:rPr>
        <w:rFonts w:ascii="Palatino Linotype" w:hAnsi="Palatino Linotype"/>
      </w:rPr>
      <w:t>R</w:t>
    </w:r>
    <w:r>
      <w:rPr>
        <w:rFonts w:ascii="Palatino Linotype" w:hAnsi="Palatino Linotype"/>
      </w:rPr>
      <w:t>esolution T-17456</w:t>
    </w:r>
    <w:r w:rsidRPr="001848C4">
      <w:rPr>
        <w:rFonts w:ascii="Palatino Linotype" w:hAnsi="Palatino Linotype"/>
      </w:rPr>
      <w:ptab w:relativeTo="margin" w:alignment="center" w:leader="none"/>
    </w:r>
    <w:r w:rsidR="00EA3AF4">
      <w:rPr>
        <w:rFonts w:ascii="Palatino Linotype" w:hAnsi="Palatino Linotype"/>
      </w:rPr>
      <w:t xml:space="preserve">                                                                            </w:t>
    </w:r>
  </w:p>
  <w:p w14:paraId="65C0B5E0" w14:textId="77777777" w:rsidR="00A3696D" w:rsidRDefault="00A3696D" w:rsidP="00A3696D">
    <w:pPr>
      <w:pStyle w:val="Header"/>
    </w:pPr>
    <w:r w:rsidRPr="001848C4">
      <w:rPr>
        <w:rFonts w:ascii="Palatino Linotype" w:hAnsi="Palatino Linotype"/>
      </w:rPr>
      <w:t>CD/KCH</w:t>
    </w:r>
    <w:r w:rsidR="00EA3AF4">
      <w:rPr>
        <w:rFonts w:ascii="Palatino Linotype" w:hAnsi="Palatino Linotype"/>
      </w:rPr>
      <w:t xml:space="preserve">                                                   </w:t>
    </w:r>
    <w:r w:rsidR="0029702F">
      <w:rPr>
        <w:rFonts w:ascii="Palatino Linotype" w:hAnsi="Palatino Linotype"/>
      </w:rPr>
      <w:t xml:space="preserve">                        </w:t>
    </w:r>
    <w:r w:rsidR="001B0A36">
      <w:rPr>
        <w:rFonts w:ascii="Palatino Linotype" w:hAnsi="Palatino Linotype"/>
      </w:rPr>
      <w:t xml:space="preserve">         </w:t>
    </w:r>
    <w:r w:rsidR="0029702F">
      <w:rPr>
        <w:rFonts w:ascii="Palatino Linotype" w:hAnsi="Palatino Linotype"/>
      </w:rPr>
      <w:t xml:space="preserve">      </w:t>
    </w:r>
    <w:r w:rsidR="001B0A36">
      <w:rPr>
        <w:rFonts w:ascii="Palatino Linotype" w:hAnsi="Palatino Linotype"/>
      </w:rPr>
      <w:t>Date of Issuance: 11/10/2014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7397" w14:textId="77777777" w:rsidR="00A50A78" w:rsidRPr="001848C4" w:rsidRDefault="00A50A78" w:rsidP="00A3696D">
    <w:pPr>
      <w:pStyle w:val="Header"/>
      <w:jc w:val="both"/>
      <w:rPr>
        <w:rFonts w:ascii="Palatino Linotype" w:hAnsi="Palatino Linotype"/>
      </w:rPr>
    </w:pPr>
    <w:r w:rsidRPr="001848C4">
      <w:rPr>
        <w:rFonts w:ascii="Palatino Linotype" w:hAnsi="Palatino Linotype"/>
      </w:rPr>
      <w:t>R</w:t>
    </w:r>
    <w:r>
      <w:rPr>
        <w:rFonts w:ascii="Palatino Linotype" w:hAnsi="Palatino Linotype"/>
      </w:rPr>
      <w:t>esolution T-17456</w:t>
    </w:r>
    <w:r w:rsidRPr="001848C4">
      <w:rPr>
        <w:rFonts w:ascii="Palatino Linotype" w:hAnsi="Palatino Linotype"/>
      </w:rPr>
      <w:ptab w:relativeTo="margin" w:alignment="center" w:leader="none"/>
    </w:r>
    <w:r>
      <w:rPr>
        <w:rFonts w:ascii="Palatino Linotype" w:hAnsi="Palatino Linotype"/>
      </w:rPr>
      <w:t xml:space="preserve">                                                                            </w:t>
    </w:r>
  </w:p>
  <w:p w14:paraId="7266285E" w14:textId="77777777" w:rsidR="00A50A78" w:rsidRDefault="00A50A78" w:rsidP="00A3696D">
    <w:pPr>
      <w:pStyle w:val="Header"/>
    </w:pPr>
    <w:r w:rsidRPr="001848C4">
      <w:rPr>
        <w:rFonts w:ascii="Palatino Linotype" w:hAnsi="Palatino Linotype"/>
      </w:rPr>
      <w:t>CD/KCH</w:t>
    </w:r>
    <w:r>
      <w:rPr>
        <w:rFonts w:ascii="Palatino Linotype" w:hAnsi="Palatino Linotyp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344D" w14:textId="77777777" w:rsidR="00112CA7" w:rsidRDefault="00112CA7" w:rsidP="003B1DBD">
    <w:pPr>
      <w:pStyle w:val="Header"/>
      <w:tabs>
        <w:tab w:val="clear" w:pos="8640"/>
        <w:tab w:val="right" w:pos="9360"/>
      </w:tabs>
    </w:pPr>
    <w:r>
      <w:tab/>
    </w: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1FE7" w14:textId="77777777" w:rsidR="00CB0884" w:rsidRPr="001848C4" w:rsidRDefault="00CB0884" w:rsidP="00A3696D">
    <w:pPr>
      <w:pStyle w:val="Header"/>
      <w:jc w:val="both"/>
      <w:rPr>
        <w:rFonts w:ascii="Palatino Linotype" w:hAnsi="Palatino Linotype"/>
      </w:rPr>
    </w:pPr>
    <w:r w:rsidRPr="001848C4">
      <w:rPr>
        <w:rFonts w:ascii="Palatino Linotype" w:hAnsi="Palatino Linotype"/>
      </w:rPr>
      <w:t>R</w:t>
    </w:r>
    <w:r>
      <w:rPr>
        <w:rFonts w:ascii="Palatino Linotype" w:hAnsi="Palatino Linotype"/>
      </w:rPr>
      <w:t>esolution T-17456</w:t>
    </w:r>
    <w:r w:rsidRPr="001848C4">
      <w:rPr>
        <w:rFonts w:ascii="Palatino Linotype" w:hAnsi="Palatino Linotype"/>
      </w:rPr>
      <w:ptab w:relativeTo="margin" w:alignment="center" w:leader="none"/>
    </w:r>
    <w:r>
      <w:rPr>
        <w:rFonts w:ascii="Palatino Linotype" w:hAnsi="Palatino Linotype"/>
      </w:rPr>
      <w:t xml:space="preserve">                                                                            </w:t>
    </w:r>
  </w:p>
  <w:p w14:paraId="56D4AEC4" w14:textId="77777777" w:rsidR="00CB0884" w:rsidRDefault="00CB0884" w:rsidP="00A3696D">
    <w:pPr>
      <w:pStyle w:val="Header"/>
    </w:pPr>
    <w:r w:rsidRPr="001848C4">
      <w:rPr>
        <w:rFonts w:ascii="Palatino Linotype" w:hAnsi="Palatino Linotype"/>
      </w:rPr>
      <w:t>CD/KCH</w:t>
    </w:r>
    <w:r>
      <w:rPr>
        <w:rFonts w:ascii="Palatino Linotype" w:hAnsi="Palatino Linotyp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128"/>
    <w:multiLevelType w:val="hybridMultilevel"/>
    <w:tmpl w:val="8806D194"/>
    <w:lvl w:ilvl="0" w:tplc="A0600B92">
      <w:start w:val="1"/>
      <w:numFmt w:val="decimal"/>
      <w:lvlText w:val="%1."/>
      <w:lvlJc w:val="left"/>
      <w:pPr>
        <w:tabs>
          <w:tab w:val="num" w:pos="2400"/>
        </w:tabs>
        <w:ind w:left="2400" w:hanging="600"/>
      </w:pPr>
      <w:rPr>
        <w:rFonts w:ascii="Palatino Linotype" w:eastAsia="Times New Roman" w:hAnsi="Palatino Linotype"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7211AEE"/>
    <w:multiLevelType w:val="hybridMultilevel"/>
    <w:tmpl w:val="F312A2C4"/>
    <w:lvl w:ilvl="0" w:tplc="D01A351E">
      <w:start w:val="1"/>
      <w:numFmt w:val="decimal"/>
      <w:lvlText w:val="%1."/>
      <w:lvlJc w:val="left"/>
      <w:pPr>
        <w:tabs>
          <w:tab w:val="num" w:pos="2400"/>
        </w:tabs>
        <w:ind w:left="2400" w:hanging="600"/>
      </w:pPr>
      <w:rPr>
        <w:rFonts w:ascii="Palatino Linotype" w:eastAsia="Times New Roman" w:hAnsi="Palatino Linotype"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DE67216"/>
    <w:multiLevelType w:val="hybridMultilevel"/>
    <w:tmpl w:val="14A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7945"/>
    <w:multiLevelType w:val="hybridMultilevel"/>
    <w:tmpl w:val="2BFE11B0"/>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42021262"/>
    <w:multiLevelType w:val="hybridMultilevel"/>
    <w:tmpl w:val="863AC6BE"/>
    <w:lvl w:ilvl="0" w:tplc="578620DA">
      <w:start w:val="1"/>
      <w:numFmt w:val="decimal"/>
      <w:lvlText w:val="%1."/>
      <w:legacy w:legacy="1" w:legacySpace="120" w:legacyIndent="360"/>
      <w:lvlJc w:val="left"/>
      <w:pPr>
        <w:ind w:left="450" w:hanging="360"/>
      </w:pPr>
    </w:lvl>
    <w:lvl w:ilvl="1" w:tplc="EAA6693C">
      <w:start w:val="1"/>
      <w:numFmt w:val="decimal"/>
      <w:lvlText w:val="%2."/>
      <w:lvlJc w:val="left"/>
      <w:pPr>
        <w:tabs>
          <w:tab w:val="num" w:pos="1440"/>
        </w:tabs>
        <w:ind w:left="1440" w:hanging="360"/>
      </w:pPr>
      <w:rPr>
        <w:rFonts w:ascii="Palatino" w:eastAsia="Times New Roman" w:hAnsi="Palatino"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E80A48"/>
    <w:multiLevelType w:val="hybridMultilevel"/>
    <w:tmpl w:val="7CFC513C"/>
    <w:lvl w:ilvl="0" w:tplc="1996EB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EDB4C63"/>
    <w:multiLevelType w:val="hybridMultilevel"/>
    <w:tmpl w:val="863AC6BE"/>
    <w:lvl w:ilvl="0" w:tplc="578620DA">
      <w:start w:val="1"/>
      <w:numFmt w:val="decimal"/>
      <w:lvlText w:val="%1."/>
      <w:legacy w:legacy="1" w:legacySpace="120" w:legacyIndent="360"/>
      <w:lvlJc w:val="left"/>
      <w:pPr>
        <w:ind w:left="450" w:hanging="360"/>
      </w:pPr>
    </w:lvl>
    <w:lvl w:ilvl="1" w:tplc="EAA6693C">
      <w:start w:val="1"/>
      <w:numFmt w:val="decimal"/>
      <w:lvlText w:val="%2."/>
      <w:lvlJc w:val="left"/>
      <w:pPr>
        <w:tabs>
          <w:tab w:val="num" w:pos="1440"/>
        </w:tabs>
        <w:ind w:left="1440" w:hanging="360"/>
      </w:pPr>
      <w:rPr>
        <w:rFonts w:ascii="Palatino" w:eastAsia="Times New Roman" w:hAnsi="Palatino"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E9510F"/>
    <w:multiLevelType w:val="hybridMultilevel"/>
    <w:tmpl w:val="863AC6BE"/>
    <w:lvl w:ilvl="0" w:tplc="578620DA">
      <w:start w:val="1"/>
      <w:numFmt w:val="decimal"/>
      <w:lvlText w:val="%1."/>
      <w:legacy w:legacy="1" w:legacySpace="120" w:legacyIndent="360"/>
      <w:lvlJc w:val="left"/>
      <w:pPr>
        <w:ind w:left="420" w:hanging="360"/>
      </w:pPr>
    </w:lvl>
    <w:lvl w:ilvl="1" w:tplc="EAA6693C">
      <w:start w:val="1"/>
      <w:numFmt w:val="decimal"/>
      <w:lvlText w:val="%2."/>
      <w:lvlJc w:val="left"/>
      <w:pPr>
        <w:tabs>
          <w:tab w:val="num" w:pos="1440"/>
        </w:tabs>
        <w:ind w:left="1440" w:hanging="360"/>
      </w:pPr>
      <w:rPr>
        <w:rFonts w:ascii="Palatino" w:eastAsia="Times New Roman" w:hAnsi="Palatino"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BD"/>
    <w:rsid w:val="00002676"/>
    <w:rsid w:val="00003B52"/>
    <w:rsid w:val="0000410B"/>
    <w:rsid w:val="00005A55"/>
    <w:rsid w:val="00013029"/>
    <w:rsid w:val="00013DE0"/>
    <w:rsid w:val="00014683"/>
    <w:rsid w:val="000156EC"/>
    <w:rsid w:val="0001742D"/>
    <w:rsid w:val="00021C9C"/>
    <w:rsid w:val="00021D1D"/>
    <w:rsid w:val="00023A7C"/>
    <w:rsid w:val="00024AFF"/>
    <w:rsid w:val="000279D2"/>
    <w:rsid w:val="00033467"/>
    <w:rsid w:val="00033DA5"/>
    <w:rsid w:val="000405FD"/>
    <w:rsid w:val="0004177E"/>
    <w:rsid w:val="00042335"/>
    <w:rsid w:val="00045062"/>
    <w:rsid w:val="000462B4"/>
    <w:rsid w:val="00052331"/>
    <w:rsid w:val="0005431B"/>
    <w:rsid w:val="000559CD"/>
    <w:rsid w:val="00055A75"/>
    <w:rsid w:val="0006023A"/>
    <w:rsid w:val="00061C68"/>
    <w:rsid w:val="0006338B"/>
    <w:rsid w:val="00063659"/>
    <w:rsid w:val="00065CA3"/>
    <w:rsid w:val="00066B61"/>
    <w:rsid w:val="00067039"/>
    <w:rsid w:val="0007379A"/>
    <w:rsid w:val="00073EC5"/>
    <w:rsid w:val="000747A3"/>
    <w:rsid w:val="00075B1E"/>
    <w:rsid w:val="00075FA1"/>
    <w:rsid w:val="00076162"/>
    <w:rsid w:val="00076B51"/>
    <w:rsid w:val="00077CEE"/>
    <w:rsid w:val="000800CC"/>
    <w:rsid w:val="00082101"/>
    <w:rsid w:val="000827F0"/>
    <w:rsid w:val="00084C73"/>
    <w:rsid w:val="00085712"/>
    <w:rsid w:val="000859EC"/>
    <w:rsid w:val="00087431"/>
    <w:rsid w:val="00087AFA"/>
    <w:rsid w:val="00092868"/>
    <w:rsid w:val="00092F18"/>
    <w:rsid w:val="000A059A"/>
    <w:rsid w:val="000A08C2"/>
    <w:rsid w:val="000A1D9F"/>
    <w:rsid w:val="000A2836"/>
    <w:rsid w:val="000A77DF"/>
    <w:rsid w:val="000B1EDE"/>
    <w:rsid w:val="000B38F7"/>
    <w:rsid w:val="000B4D28"/>
    <w:rsid w:val="000B57FA"/>
    <w:rsid w:val="000B5A0D"/>
    <w:rsid w:val="000B7070"/>
    <w:rsid w:val="000C0B92"/>
    <w:rsid w:val="000C0BC3"/>
    <w:rsid w:val="000C2EB3"/>
    <w:rsid w:val="000C2FAB"/>
    <w:rsid w:val="000C4880"/>
    <w:rsid w:val="000C6055"/>
    <w:rsid w:val="000C70EF"/>
    <w:rsid w:val="000D0327"/>
    <w:rsid w:val="000D1240"/>
    <w:rsid w:val="000D1C66"/>
    <w:rsid w:val="000D2598"/>
    <w:rsid w:val="000D4A96"/>
    <w:rsid w:val="000D55C3"/>
    <w:rsid w:val="000E0402"/>
    <w:rsid w:val="000E0614"/>
    <w:rsid w:val="000E3EDA"/>
    <w:rsid w:val="000E4644"/>
    <w:rsid w:val="000E75B5"/>
    <w:rsid w:val="000F0161"/>
    <w:rsid w:val="000F11B6"/>
    <w:rsid w:val="000F32F8"/>
    <w:rsid w:val="000F5608"/>
    <w:rsid w:val="0010055A"/>
    <w:rsid w:val="00100C10"/>
    <w:rsid w:val="00100C5F"/>
    <w:rsid w:val="00102405"/>
    <w:rsid w:val="00103570"/>
    <w:rsid w:val="0010358E"/>
    <w:rsid w:val="00104186"/>
    <w:rsid w:val="00110237"/>
    <w:rsid w:val="00110B18"/>
    <w:rsid w:val="00110B51"/>
    <w:rsid w:val="00112CA7"/>
    <w:rsid w:val="00112E65"/>
    <w:rsid w:val="00113B18"/>
    <w:rsid w:val="00116F74"/>
    <w:rsid w:val="00117B3E"/>
    <w:rsid w:val="00117ED0"/>
    <w:rsid w:val="001201C6"/>
    <w:rsid w:val="00121866"/>
    <w:rsid w:val="001222D7"/>
    <w:rsid w:val="001229E3"/>
    <w:rsid w:val="001237BF"/>
    <w:rsid w:val="001269A2"/>
    <w:rsid w:val="001269D6"/>
    <w:rsid w:val="001273CE"/>
    <w:rsid w:val="001276D7"/>
    <w:rsid w:val="001305B0"/>
    <w:rsid w:val="00131F8D"/>
    <w:rsid w:val="00135FA2"/>
    <w:rsid w:val="00140B72"/>
    <w:rsid w:val="00143642"/>
    <w:rsid w:val="00143BFA"/>
    <w:rsid w:val="00146F8B"/>
    <w:rsid w:val="00153665"/>
    <w:rsid w:val="00155C65"/>
    <w:rsid w:val="001566BE"/>
    <w:rsid w:val="0015670C"/>
    <w:rsid w:val="001618B7"/>
    <w:rsid w:val="00162B96"/>
    <w:rsid w:val="00163250"/>
    <w:rsid w:val="001640E9"/>
    <w:rsid w:val="001662FB"/>
    <w:rsid w:val="00167A40"/>
    <w:rsid w:val="00174A2A"/>
    <w:rsid w:val="001766F3"/>
    <w:rsid w:val="00181A72"/>
    <w:rsid w:val="00182DB2"/>
    <w:rsid w:val="00182EBA"/>
    <w:rsid w:val="00184806"/>
    <w:rsid w:val="00185A5C"/>
    <w:rsid w:val="00190B50"/>
    <w:rsid w:val="00192D5B"/>
    <w:rsid w:val="00193202"/>
    <w:rsid w:val="00193DF5"/>
    <w:rsid w:val="00194B47"/>
    <w:rsid w:val="001A1B03"/>
    <w:rsid w:val="001A1E18"/>
    <w:rsid w:val="001A3951"/>
    <w:rsid w:val="001A4041"/>
    <w:rsid w:val="001A57F1"/>
    <w:rsid w:val="001A62D9"/>
    <w:rsid w:val="001A6DE6"/>
    <w:rsid w:val="001B0A36"/>
    <w:rsid w:val="001B11E8"/>
    <w:rsid w:val="001B2F83"/>
    <w:rsid w:val="001B3E27"/>
    <w:rsid w:val="001B60C6"/>
    <w:rsid w:val="001C306E"/>
    <w:rsid w:val="001C44DB"/>
    <w:rsid w:val="001D0707"/>
    <w:rsid w:val="001D1AFD"/>
    <w:rsid w:val="001D44F7"/>
    <w:rsid w:val="001D4A9D"/>
    <w:rsid w:val="001D4D97"/>
    <w:rsid w:val="001D5232"/>
    <w:rsid w:val="001D68DB"/>
    <w:rsid w:val="001E03B0"/>
    <w:rsid w:val="001E5083"/>
    <w:rsid w:val="001E703C"/>
    <w:rsid w:val="001E7693"/>
    <w:rsid w:val="001E782D"/>
    <w:rsid w:val="001F1A0F"/>
    <w:rsid w:val="001F48E8"/>
    <w:rsid w:val="002001F4"/>
    <w:rsid w:val="002012B2"/>
    <w:rsid w:val="00201DE8"/>
    <w:rsid w:val="00202B68"/>
    <w:rsid w:val="0020535F"/>
    <w:rsid w:val="00206249"/>
    <w:rsid w:val="00207E5D"/>
    <w:rsid w:val="002103DF"/>
    <w:rsid w:val="00211DF2"/>
    <w:rsid w:val="00212962"/>
    <w:rsid w:val="00212BE2"/>
    <w:rsid w:val="00214D4D"/>
    <w:rsid w:val="002156E5"/>
    <w:rsid w:val="00216FE5"/>
    <w:rsid w:val="00217FDE"/>
    <w:rsid w:val="002207C0"/>
    <w:rsid w:val="00220DCB"/>
    <w:rsid w:val="002215CC"/>
    <w:rsid w:val="0022674E"/>
    <w:rsid w:val="00226EED"/>
    <w:rsid w:val="00232130"/>
    <w:rsid w:val="00232764"/>
    <w:rsid w:val="00237742"/>
    <w:rsid w:val="00242C36"/>
    <w:rsid w:val="00244AAB"/>
    <w:rsid w:val="00244B94"/>
    <w:rsid w:val="00247D33"/>
    <w:rsid w:val="00251BF9"/>
    <w:rsid w:val="00251C41"/>
    <w:rsid w:val="00253F1A"/>
    <w:rsid w:val="00255A75"/>
    <w:rsid w:val="0026237F"/>
    <w:rsid w:val="00264221"/>
    <w:rsid w:val="00264E2F"/>
    <w:rsid w:val="0026641C"/>
    <w:rsid w:val="00266D56"/>
    <w:rsid w:val="002677E7"/>
    <w:rsid w:val="00270458"/>
    <w:rsid w:val="00270E32"/>
    <w:rsid w:val="00272CF9"/>
    <w:rsid w:val="00274665"/>
    <w:rsid w:val="0028078D"/>
    <w:rsid w:val="002810E1"/>
    <w:rsid w:val="00282263"/>
    <w:rsid w:val="00282D23"/>
    <w:rsid w:val="00283CB9"/>
    <w:rsid w:val="00285F7F"/>
    <w:rsid w:val="00286995"/>
    <w:rsid w:val="00291CD5"/>
    <w:rsid w:val="00291E92"/>
    <w:rsid w:val="00294495"/>
    <w:rsid w:val="002965F6"/>
    <w:rsid w:val="00296AA4"/>
    <w:rsid w:val="00296B11"/>
    <w:rsid w:val="0029702F"/>
    <w:rsid w:val="002A2154"/>
    <w:rsid w:val="002A59E5"/>
    <w:rsid w:val="002A6A19"/>
    <w:rsid w:val="002A77D8"/>
    <w:rsid w:val="002A7D53"/>
    <w:rsid w:val="002B0A85"/>
    <w:rsid w:val="002B0E96"/>
    <w:rsid w:val="002B1B55"/>
    <w:rsid w:val="002B4810"/>
    <w:rsid w:val="002B5FD9"/>
    <w:rsid w:val="002B6AD7"/>
    <w:rsid w:val="002C051F"/>
    <w:rsid w:val="002C1CB2"/>
    <w:rsid w:val="002C2D22"/>
    <w:rsid w:val="002C30BA"/>
    <w:rsid w:val="002C3563"/>
    <w:rsid w:val="002C4017"/>
    <w:rsid w:val="002C5C4D"/>
    <w:rsid w:val="002C6527"/>
    <w:rsid w:val="002D10C7"/>
    <w:rsid w:val="002D1F69"/>
    <w:rsid w:val="002D3441"/>
    <w:rsid w:val="002D5B98"/>
    <w:rsid w:val="002D6FB4"/>
    <w:rsid w:val="002E0E5F"/>
    <w:rsid w:val="002E1C8A"/>
    <w:rsid w:val="002E3409"/>
    <w:rsid w:val="002E4377"/>
    <w:rsid w:val="002E600A"/>
    <w:rsid w:val="002E669B"/>
    <w:rsid w:val="002E76AF"/>
    <w:rsid w:val="002F0E02"/>
    <w:rsid w:val="002F0E17"/>
    <w:rsid w:val="002F28FD"/>
    <w:rsid w:val="002F4305"/>
    <w:rsid w:val="002F6439"/>
    <w:rsid w:val="002F6CEC"/>
    <w:rsid w:val="002F7682"/>
    <w:rsid w:val="003044BB"/>
    <w:rsid w:val="00305CEA"/>
    <w:rsid w:val="00307160"/>
    <w:rsid w:val="0030733F"/>
    <w:rsid w:val="00307C38"/>
    <w:rsid w:val="0031182A"/>
    <w:rsid w:val="003135A8"/>
    <w:rsid w:val="003141C7"/>
    <w:rsid w:val="00314C76"/>
    <w:rsid w:val="0032025F"/>
    <w:rsid w:val="00320F01"/>
    <w:rsid w:val="00325D76"/>
    <w:rsid w:val="00332E3F"/>
    <w:rsid w:val="00333AC3"/>
    <w:rsid w:val="003351B8"/>
    <w:rsid w:val="00335508"/>
    <w:rsid w:val="0033784B"/>
    <w:rsid w:val="00337AAE"/>
    <w:rsid w:val="003425B6"/>
    <w:rsid w:val="00343BA7"/>
    <w:rsid w:val="00350085"/>
    <w:rsid w:val="00351398"/>
    <w:rsid w:val="00353776"/>
    <w:rsid w:val="003617FD"/>
    <w:rsid w:val="0036307D"/>
    <w:rsid w:val="00364CDC"/>
    <w:rsid w:val="00365860"/>
    <w:rsid w:val="00365E36"/>
    <w:rsid w:val="00373507"/>
    <w:rsid w:val="003745F2"/>
    <w:rsid w:val="00377A83"/>
    <w:rsid w:val="00377CE8"/>
    <w:rsid w:val="00381DF2"/>
    <w:rsid w:val="003841F1"/>
    <w:rsid w:val="00384E20"/>
    <w:rsid w:val="0038504D"/>
    <w:rsid w:val="00385735"/>
    <w:rsid w:val="0038649F"/>
    <w:rsid w:val="00392B8A"/>
    <w:rsid w:val="00393248"/>
    <w:rsid w:val="00394ACC"/>
    <w:rsid w:val="0039669C"/>
    <w:rsid w:val="003A0BC6"/>
    <w:rsid w:val="003A1523"/>
    <w:rsid w:val="003A1AF8"/>
    <w:rsid w:val="003A3CF3"/>
    <w:rsid w:val="003A42CE"/>
    <w:rsid w:val="003A4A78"/>
    <w:rsid w:val="003A5008"/>
    <w:rsid w:val="003A55F7"/>
    <w:rsid w:val="003A5CB0"/>
    <w:rsid w:val="003A6C2D"/>
    <w:rsid w:val="003B00AF"/>
    <w:rsid w:val="003B19EF"/>
    <w:rsid w:val="003B1DBD"/>
    <w:rsid w:val="003B2A63"/>
    <w:rsid w:val="003B4995"/>
    <w:rsid w:val="003B642F"/>
    <w:rsid w:val="003B69FE"/>
    <w:rsid w:val="003C1AC4"/>
    <w:rsid w:val="003C4421"/>
    <w:rsid w:val="003C6FB3"/>
    <w:rsid w:val="003D08E5"/>
    <w:rsid w:val="003D16A6"/>
    <w:rsid w:val="003D17C3"/>
    <w:rsid w:val="003D519C"/>
    <w:rsid w:val="003D6CA2"/>
    <w:rsid w:val="003D7151"/>
    <w:rsid w:val="003D7FB4"/>
    <w:rsid w:val="003E0382"/>
    <w:rsid w:val="003E17DC"/>
    <w:rsid w:val="003E3266"/>
    <w:rsid w:val="003E3F4C"/>
    <w:rsid w:val="003E63D3"/>
    <w:rsid w:val="003E7A0E"/>
    <w:rsid w:val="003F32B9"/>
    <w:rsid w:val="003F6369"/>
    <w:rsid w:val="003F726F"/>
    <w:rsid w:val="00401BE8"/>
    <w:rsid w:val="00401CF4"/>
    <w:rsid w:val="00403EA9"/>
    <w:rsid w:val="004049C6"/>
    <w:rsid w:val="0040641C"/>
    <w:rsid w:val="0040671E"/>
    <w:rsid w:val="0040798B"/>
    <w:rsid w:val="00410CD8"/>
    <w:rsid w:val="00412F0C"/>
    <w:rsid w:val="00413F83"/>
    <w:rsid w:val="00414329"/>
    <w:rsid w:val="00416BCE"/>
    <w:rsid w:val="00417791"/>
    <w:rsid w:val="004208A4"/>
    <w:rsid w:val="00430B56"/>
    <w:rsid w:val="00430F6B"/>
    <w:rsid w:val="004313BE"/>
    <w:rsid w:val="00431E97"/>
    <w:rsid w:val="00432E27"/>
    <w:rsid w:val="00434F84"/>
    <w:rsid w:val="00437A54"/>
    <w:rsid w:val="004405C8"/>
    <w:rsid w:val="00441080"/>
    <w:rsid w:val="00446985"/>
    <w:rsid w:val="00447354"/>
    <w:rsid w:val="0044745E"/>
    <w:rsid w:val="00447757"/>
    <w:rsid w:val="004525D5"/>
    <w:rsid w:val="00455CD8"/>
    <w:rsid w:val="004565FD"/>
    <w:rsid w:val="00456C0B"/>
    <w:rsid w:val="00460A96"/>
    <w:rsid w:val="00464AA3"/>
    <w:rsid w:val="00470B99"/>
    <w:rsid w:val="00471C19"/>
    <w:rsid w:val="0047228D"/>
    <w:rsid w:val="00473483"/>
    <w:rsid w:val="00475465"/>
    <w:rsid w:val="004756A6"/>
    <w:rsid w:val="004804B2"/>
    <w:rsid w:val="00480DAB"/>
    <w:rsid w:val="00481BE0"/>
    <w:rsid w:val="0048230B"/>
    <w:rsid w:val="004845C0"/>
    <w:rsid w:val="004850E3"/>
    <w:rsid w:val="0048741E"/>
    <w:rsid w:val="00487964"/>
    <w:rsid w:val="00487C1A"/>
    <w:rsid w:val="0049085A"/>
    <w:rsid w:val="00491DF0"/>
    <w:rsid w:val="00493F9A"/>
    <w:rsid w:val="00495356"/>
    <w:rsid w:val="00496A96"/>
    <w:rsid w:val="00497803"/>
    <w:rsid w:val="004A4A27"/>
    <w:rsid w:val="004A592E"/>
    <w:rsid w:val="004A61AF"/>
    <w:rsid w:val="004B0D49"/>
    <w:rsid w:val="004B2C64"/>
    <w:rsid w:val="004B301D"/>
    <w:rsid w:val="004B3623"/>
    <w:rsid w:val="004B4716"/>
    <w:rsid w:val="004B540E"/>
    <w:rsid w:val="004B73AB"/>
    <w:rsid w:val="004C1E71"/>
    <w:rsid w:val="004C2098"/>
    <w:rsid w:val="004C2884"/>
    <w:rsid w:val="004C385F"/>
    <w:rsid w:val="004C38FB"/>
    <w:rsid w:val="004C55AA"/>
    <w:rsid w:val="004C5D85"/>
    <w:rsid w:val="004D0355"/>
    <w:rsid w:val="004D0EA2"/>
    <w:rsid w:val="004D18E6"/>
    <w:rsid w:val="004D4CD4"/>
    <w:rsid w:val="004D5ACD"/>
    <w:rsid w:val="004D5FE9"/>
    <w:rsid w:val="004D7F17"/>
    <w:rsid w:val="004E017C"/>
    <w:rsid w:val="004E456B"/>
    <w:rsid w:val="004F1B47"/>
    <w:rsid w:val="004F5439"/>
    <w:rsid w:val="004F5BD8"/>
    <w:rsid w:val="004F63CB"/>
    <w:rsid w:val="004F7125"/>
    <w:rsid w:val="00502078"/>
    <w:rsid w:val="00504A6A"/>
    <w:rsid w:val="005101E4"/>
    <w:rsid w:val="005105A4"/>
    <w:rsid w:val="005119D4"/>
    <w:rsid w:val="005125F9"/>
    <w:rsid w:val="00514C74"/>
    <w:rsid w:val="00520C68"/>
    <w:rsid w:val="005214D8"/>
    <w:rsid w:val="005216E0"/>
    <w:rsid w:val="00522680"/>
    <w:rsid w:val="00525A45"/>
    <w:rsid w:val="00526930"/>
    <w:rsid w:val="00530433"/>
    <w:rsid w:val="00530884"/>
    <w:rsid w:val="00532A5E"/>
    <w:rsid w:val="00532A90"/>
    <w:rsid w:val="00536317"/>
    <w:rsid w:val="00537DD0"/>
    <w:rsid w:val="00542D44"/>
    <w:rsid w:val="00542E7F"/>
    <w:rsid w:val="005457A7"/>
    <w:rsid w:val="005457E1"/>
    <w:rsid w:val="005465B5"/>
    <w:rsid w:val="005500D5"/>
    <w:rsid w:val="005542E8"/>
    <w:rsid w:val="00555C5A"/>
    <w:rsid w:val="00557C93"/>
    <w:rsid w:val="005602C2"/>
    <w:rsid w:val="00560555"/>
    <w:rsid w:val="0056563B"/>
    <w:rsid w:val="00566A90"/>
    <w:rsid w:val="0056702C"/>
    <w:rsid w:val="00570425"/>
    <w:rsid w:val="00570A36"/>
    <w:rsid w:val="00571827"/>
    <w:rsid w:val="0057339F"/>
    <w:rsid w:val="00575067"/>
    <w:rsid w:val="00575BC4"/>
    <w:rsid w:val="0057732C"/>
    <w:rsid w:val="0058004F"/>
    <w:rsid w:val="00582907"/>
    <w:rsid w:val="00583768"/>
    <w:rsid w:val="00583885"/>
    <w:rsid w:val="005841B6"/>
    <w:rsid w:val="00586EE9"/>
    <w:rsid w:val="005911BA"/>
    <w:rsid w:val="00592EF8"/>
    <w:rsid w:val="005953D1"/>
    <w:rsid w:val="005966E8"/>
    <w:rsid w:val="005A04F5"/>
    <w:rsid w:val="005A0672"/>
    <w:rsid w:val="005A11DF"/>
    <w:rsid w:val="005A1507"/>
    <w:rsid w:val="005A1F9D"/>
    <w:rsid w:val="005A2607"/>
    <w:rsid w:val="005A2BB3"/>
    <w:rsid w:val="005A447C"/>
    <w:rsid w:val="005A4649"/>
    <w:rsid w:val="005A480F"/>
    <w:rsid w:val="005A4A84"/>
    <w:rsid w:val="005A5ED2"/>
    <w:rsid w:val="005B1409"/>
    <w:rsid w:val="005B149E"/>
    <w:rsid w:val="005B3BCE"/>
    <w:rsid w:val="005C0244"/>
    <w:rsid w:val="005C14FC"/>
    <w:rsid w:val="005C21A8"/>
    <w:rsid w:val="005C2F37"/>
    <w:rsid w:val="005C3120"/>
    <w:rsid w:val="005C6667"/>
    <w:rsid w:val="005D5790"/>
    <w:rsid w:val="005D5D73"/>
    <w:rsid w:val="005D7462"/>
    <w:rsid w:val="005E18AA"/>
    <w:rsid w:val="005E2630"/>
    <w:rsid w:val="005E5539"/>
    <w:rsid w:val="005F481B"/>
    <w:rsid w:val="005F53EC"/>
    <w:rsid w:val="005F586A"/>
    <w:rsid w:val="005F73CD"/>
    <w:rsid w:val="006000AA"/>
    <w:rsid w:val="00601112"/>
    <w:rsid w:val="006011D9"/>
    <w:rsid w:val="0060266F"/>
    <w:rsid w:val="00602AD5"/>
    <w:rsid w:val="006047C8"/>
    <w:rsid w:val="00604FD5"/>
    <w:rsid w:val="00606F7B"/>
    <w:rsid w:val="006102BA"/>
    <w:rsid w:val="006116C0"/>
    <w:rsid w:val="00611B10"/>
    <w:rsid w:val="00613BA2"/>
    <w:rsid w:val="00613F88"/>
    <w:rsid w:val="00614E4B"/>
    <w:rsid w:val="006150A9"/>
    <w:rsid w:val="00615B1A"/>
    <w:rsid w:val="006230BA"/>
    <w:rsid w:val="00623EA6"/>
    <w:rsid w:val="00625DB3"/>
    <w:rsid w:val="006264FD"/>
    <w:rsid w:val="006265AF"/>
    <w:rsid w:val="0063092E"/>
    <w:rsid w:val="006319A8"/>
    <w:rsid w:val="00632B48"/>
    <w:rsid w:val="00634567"/>
    <w:rsid w:val="00635616"/>
    <w:rsid w:val="0063634A"/>
    <w:rsid w:val="006420F3"/>
    <w:rsid w:val="00644303"/>
    <w:rsid w:val="0064547C"/>
    <w:rsid w:val="0064661A"/>
    <w:rsid w:val="00651727"/>
    <w:rsid w:val="00653237"/>
    <w:rsid w:val="00654010"/>
    <w:rsid w:val="00655D56"/>
    <w:rsid w:val="006602E7"/>
    <w:rsid w:val="00661E9E"/>
    <w:rsid w:val="00662283"/>
    <w:rsid w:val="00662D96"/>
    <w:rsid w:val="00675476"/>
    <w:rsid w:val="0068148A"/>
    <w:rsid w:val="00686BEF"/>
    <w:rsid w:val="00686C01"/>
    <w:rsid w:val="00690387"/>
    <w:rsid w:val="00690E20"/>
    <w:rsid w:val="00693B4A"/>
    <w:rsid w:val="00695ECC"/>
    <w:rsid w:val="00695F7D"/>
    <w:rsid w:val="006A21B1"/>
    <w:rsid w:val="006A2DC0"/>
    <w:rsid w:val="006A5A78"/>
    <w:rsid w:val="006A611A"/>
    <w:rsid w:val="006A6677"/>
    <w:rsid w:val="006A7D90"/>
    <w:rsid w:val="006B329B"/>
    <w:rsid w:val="006B5441"/>
    <w:rsid w:val="006B74FF"/>
    <w:rsid w:val="006B7B58"/>
    <w:rsid w:val="006C03CE"/>
    <w:rsid w:val="006C240B"/>
    <w:rsid w:val="006C4293"/>
    <w:rsid w:val="006C56A9"/>
    <w:rsid w:val="006C730B"/>
    <w:rsid w:val="006C7B18"/>
    <w:rsid w:val="006D3CAE"/>
    <w:rsid w:val="006D7C7C"/>
    <w:rsid w:val="006E2E6D"/>
    <w:rsid w:val="006E3152"/>
    <w:rsid w:val="006E38C7"/>
    <w:rsid w:val="006F05C2"/>
    <w:rsid w:val="006F2FE5"/>
    <w:rsid w:val="006F36FE"/>
    <w:rsid w:val="006F49F6"/>
    <w:rsid w:val="006F4D57"/>
    <w:rsid w:val="006F52F1"/>
    <w:rsid w:val="006F5337"/>
    <w:rsid w:val="006F5A57"/>
    <w:rsid w:val="006F6321"/>
    <w:rsid w:val="006F7AB8"/>
    <w:rsid w:val="0070015F"/>
    <w:rsid w:val="00704901"/>
    <w:rsid w:val="00706A85"/>
    <w:rsid w:val="00706FC5"/>
    <w:rsid w:val="007148FF"/>
    <w:rsid w:val="00714EB2"/>
    <w:rsid w:val="007175FE"/>
    <w:rsid w:val="00717889"/>
    <w:rsid w:val="00722F91"/>
    <w:rsid w:val="00723302"/>
    <w:rsid w:val="00723905"/>
    <w:rsid w:val="00726883"/>
    <w:rsid w:val="00732EAA"/>
    <w:rsid w:val="0073310E"/>
    <w:rsid w:val="007349B8"/>
    <w:rsid w:val="0074116E"/>
    <w:rsid w:val="0074556C"/>
    <w:rsid w:val="00745B57"/>
    <w:rsid w:val="0074602E"/>
    <w:rsid w:val="00746D9D"/>
    <w:rsid w:val="007518D8"/>
    <w:rsid w:val="0075279F"/>
    <w:rsid w:val="00760574"/>
    <w:rsid w:val="00761132"/>
    <w:rsid w:val="007627F3"/>
    <w:rsid w:val="00762859"/>
    <w:rsid w:val="00767241"/>
    <w:rsid w:val="00767CF4"/>
    <w:rsid w:val="00771F09"/>
    <w:rsid w:val="00774E0A"/>
    <w:rsid w:val="00776993"/>
    <w:rsid w:val="007778BE"/>
    <w:rsid w:val="007813FC"/>
    <w:rsid w:val="007817AE"/>
    <w:rsid w:val="00783975"/>
    <w:rsid w:val="00785B06"/>
    <w:rsid w:val="00790C13"/>
    <w:rsid w:val="007911DA"/>
    <w:rsid w:val="00792928"/>
    <w:rsid w:val="0079326B"/>
    <w:rsid w:val="007947D9"/>
    <w:rsid w:val="007972AA"/>
    <w:rsid w:val="007A0567"/>
    <w:rsid w:val="007A22B5"/>
    <w:rsid w:val="007A3D24"/>
    <w:rsid w:val="007A5191"/>
    <w:rsid w:val="007A7030"/>
    <w:rsid w:val="007A71A0"/>
    <w:rsid w:val="007B187C"/>
    <w:rsid w:val="007B36F7"/>
    <w:rsid w:val="007B41CE"/>
    <w:rsid w:val="007B43E9"/>
    <w:rsid w:val="007B4CCE"/>
    <w:rsid w:val="007B5D39"/>
    <w:rsid w:val="007C01F3"/>
    <w:rsid w:val="007C132B"/>
    <w:rsid w:val="007C2985"/>
    <w:rsid w:val="007C29C1"/>
    <w:rsid w:val="007C345C"/>
    <w:rsid w:val="007C4CEC"/>
    <w:rsid w:val="007C5062"/>
    <w:rsid w:val="007C514A"/>
    <w:rsid w:val="007C558F"/>
    <w:rsid w:val="007D0B1F"/>
    <w:rsid w:val="007D25B5"/>
    <w:rsid w:val="007D2C67"/>
    <w:rsid w:val="007D3920"/>
    <w:rsid w:val="007D3C37"/>
    <w:rsid w:val="007D464D"/>
    <w:rsid w:val="007D7D00"/>
    <w:rsid w:val="007E0E3E"/>
    <w:rsid w:val="007E380E"/>
    <w:rsid w:val="007E5635"/>
    <w:rsid w:val="007F02B3"/>
    <w:rsid w:val="007F1BE4"/>
    <w:rsid w:val="007F5E6D"/>
    <w:rsid w:val="007F7F69"/>
    <w:rsid w:val="008004CD"/>
    <w:rsid w:val="00801313"/>
    <w:rsid w:val="00801471"/>
    <w:rsid w:val="008021DB"/>
    <w:rsid w:val="0080435C"/>
    <w:rsid w:val="00804A0D"/>
    <w:rsid w:val="00804BD7"/>
    <w:rsid w:val="00804D5E"/>
    <w:rsid w:val="00805512"/>
    <w:rsid w:val="00806691"/>
    <w:rsid w:val="00812FA8"/>
    <w:rsid w:val="00814701"/>
    <w:rsid w:val="00814E1E"/>
    <w:rsid w:val="00815068"/>
    <w:rsid w:val="0081671C"/>
    <w:rsid w:val="00823D04"/>
    <w:rsid w:val="00824D51"/>
    <w:rsid w:val="00827D88"/>
    <w:rsid w:val="00830034"/>
    <w:rsid w:val="00830F69"/>
    <w:rsid w:val="00832108"/>
    <w:rsid w:val="00833E06"/>
    <w:rsid w:val="00834C44"/>
    <w:rsid w:val="00835641"/>
    <w:rsid w:val="00835A29"/>
    <w:rsid w:val="00836861"/>
    <w:rsid w:val="0083724E"/>
    <w:rsid w:val="0084077E"/>
    <w:rsid w:val="00841DC2"/>
    <w:rsid w:val="008439F4"/>
    <w:rsid w:val="0084416A"/>
    <w:rsid w:val="008469D5"/>
    <w:rsid w:val="008472AE"/>
    <w:rsid w:val="008505A1"/>
    <w:rsid w:val="008523BB"/>
    <w:rsid w:val="008552B4"/>
    <w:rsid w:val="00862617"/>
    <w:rsid w:val="00865756"/>
    <w:rsid w:val="008659B5"/>
    <w:rsid w:val="0087174D"/>
    <w:rsid w:val="008722AB"/>
    <w:rsid w:val="00874149"/>
    <w:rsid w:val="0087606D"/>
    <w:rsid w:val="00876619"/>
    <w:rsid w:val="00877FB6"/>
    <w:rsid w:val="0088098E"/>
    <w:rsid w:val="008811DC"/>
    <w:rsid w:val="0088197C"/>
    <w:rsid w:val="00881DAD"/>
    <w:rsid w:val="00881EA8"/>
    <w:rsid w:val="008840D1"/>
    <w:rsid w:val="0088475C"/>
    <w:rsid w:val="00884766"/>
    <w:rsid w:val="00884F26"/>
    <w:rsid w:val="008855FD"/>
    <w:rsid w:val="00886625"/>
    <w:rsid w:val="00887A5F"/>
    <w:rsid w:val="00893952"/>
    <w:rsid w:val="00894063"/>
    <w:rsid w:val="00894BFD"/>
    <w:rsid w:val="00895099"/>
    <w:rsid w:val="008964F2"/>
    <w:rsid w:val="00897054"/>
    <w:rsid w:val="008A0BE7"/>
    <w:rsid w:val="008A16B2"/>
    <w:rsid w:val="008A373D"/>
    <w:rsid w:val="008A4A25"/>
    <w:rsid w:val="008A5134"/>
    <w:rsid w:val="008B1240"/>
    <w:rsid w:val="008B5956"/>
    <w:rsid w:val="008B7E67"/>
    <w:rsid w:val="008C2670"/>
    <w:rsid w:val="008C3B07"/>
    <w:rsid w:val="008C5AB7"/>
    <w:rsid w:val="008C7435"/>
    <w:rsid w:val="008D016C"/>
    <w:rsid w:val="008D1410"/>
    <w:rsid w:val="008D1E4D"/>
    <w:rsid w:val="008D2F68"/>
    <w:rsid w:val="008D43D6"/>
    <w:rsid w:val="008D5A37"/>
    <w:rsid w:val="008D7A56"/>
    <w:rsid w:val="008E44B5"/>
    <w:rsid w:val="008E6E9A"/>
    <w:rsid w:val="008F303C"/>
    <w:rsid w:val="008F3E58"/>
    <w:rsid w:val="008F5A85"/>
    <w:rsid w:val="008F7740"/>
    <w:rsid w:val="008F7AF4"/>
    <w:rsid w:val="009030CB"/>
    <w:rsid w:val="00903676"/>
    <w:rsid w:val="00904831"/>
    <w:rsid w:val="00905594"/>
    <w:rsid w:val="00905F9C"/>
    <w:rsid w:val="00907850"/>
    <w:rsid w:val="009132F6"/>
    <w:rsid w:val="009145E2"/>
    <w:rsid w:val="00914F1A"/>
    <w:rsid w:val="00917373"/>
    <w:rsid w:val="00920722"/>
    <w:rsid w:val="00921164"/>
    <w:rsid w:val="00922C60"/>
    <w:rsid w:val="00922C8E"/>
    <w:rsid w:val="00922DD2"/>
    <w:rsid w:val="009262FF"/>
    <w:rsid w:val="009275F3"/>
    <w:rsid w:val="009279C8"/>
    <w:rsid w:val="00930BA0"/>
    <w:rsid w:val="00930F1C"/>
    <w:rsid w:val="00930F93"/>
    <w:rsid w:val="0093198E"/>
    <w:rsid w:val="00932D8C"/>
    <w:rsid w:val="00932E55"/>
    <w:rsid w:val="00933608"/>
    <w:rsid w:val="009358B4"/>
    <w:rsid w:val="00935E50"/>
    <w:rsid w:val="009360B7"/>
    <w:rsid w:val="00936508"/>
    <w:rsid w:val="009367A2"/>
    <w:rsid w:val="00940145"/>
    <w:rsid w:val="00941A31"/>
    <w:rsid w:val="00944152"/>
    <w:rsid w:val="0094449E"/>
    <w:rsid w:val="00944609"/>
    <w:rsid w:val="00944FEA"/>
    <w:rsid w:val="00945345"/>
    <w:rsid w:val="00950BBE"/>
    <w:rsid w:val="00951BC6"/>
    <w:rsid w:val="0095266D"/>
    <w:rsid w:val="009530D6"/>
    <w:rsid w:val="00954E74"/>
    <w:rsid w:val="00956000"/>
    <w:rsid w:val="00956129"/>
    <w:rsid w:val="0095677D"/>
    <w:rsid w:val="00956990"/>
    <w:rsid w:val="00961033"/>
    <w:rsid w:val="00962F7C"/>
    <w:rsid w:val="00964D03"/>
    <w:rsid w:val="009650D4"/>
    <w:rsid w:val="009667B7"/>
    <w:rsid w:val="00966A5C"/>
    <w:rsid w:val="0096772C"/>
    <w:rsid w:val="00972DEE"/>
    <w:rsid w:val="0097474C"/>
    <w:rsid w:val="0097528D"/>
    <w:rsid w:val="00975ECF"/>
    <w:rsid w:val="0098337A"/>
    <w:rsid w:val="009836CA"/>
    <w:rsid w:val="0098374E"/>
    <w:rsid w:val="00986F43"/>
    <w:rsid w:val="00987E10"/>
    <w:rsid w:val="00992861"/>
    <w:rsid w:val="00994E11"/>
    <w:rsid w:val="009979BA"/>
    <w:rsid w:val="009A0643"/>
    <w:rsid w:val="009A19CA"/>
    <w:rsid w:val="009A1D50"/>
    <w:rsid w:val="009A317A"/>
    <w:rsid w:val="009A3D15"/>
    <w:rsid w:val="009A68B6"/>
    <w:rsid w:val="009A6A5E"/>
    <w:rsid w:val="009B1FAF"/>
    <w:rsid w:val="009B2C5D"/>
    <w:rsid w:val="009C0068"/>
    <w:rsid w:val="009C1673"/>
    <w:rsid w:val="009C1E88"/>
    <w:rsid w:val="009C1F5C"/>
    <w:rsid w:val="009C2505"/>
    <w:rsid w:val="009C3D7C"/>
    <w:rsid w:val="009C48E3"/>
    <w:rsid w:val="009D1C51"/>
    <w:rsid w:val="009D1D7D"/>
    <w:rsid w:val="009D2719"/>
    <w:rsid w:val="009D2B72"/>
    <w:rsid w:val="009D573D"/>
    <w:rsid w:val="009E0332"/>
    <w:rsid w:val="009E1427"/>
    <w:rsid w:val="009E30B4"/>
    <w:rsid w:val="009E5238"/>
    <w:rsid w:val="009F342E"/>
    <w:rsid w:val="009F3B34"/>
    <w:rsid w:val="00A02644"/>
    <w:rsid w:val="00A0313D"/>
    <w:rsid w:val="00A04BB4"/>
    <w:rsid w:val="00A10583"/>
    <w:rsid w:val="00A112B6"/>
    <w:rsid w:val="00A11A44"/>
    <w:rsid w:val="00A1213F"/>
    <w:rsid w:val="00A124E3"/>
    <w:rsid w:val="00A13596"/>
    <w:rsid w:val="00A16C01"/>
    <w:rsid w:val="00A22C86"/>
    <w:rsid w:val="00A2416E"/>
    <w:rsid w:val="00A304DB"/>
    <w:rsid w:val="00A308C0"/>
    <w:rsid w:val="00A3147E"/>
    <w:rsid w:val="00A326B0"/>
    <w:rsid w:val="00A334F4"/>
    <w:rsid w:val="00A34799"/>
    <w:rsid w:val="00A35255"/>
    <w:rsid w:val="00A3696D"/>
    <w:rsid w:val="00A37945"/>
    <w:rsid w:val="00A37AFF"/>
    <w:rsid w:val="00A37CDD"/>
    <w:rsid w:val="00A40BDC"/>
    <w:rsid w:val="00A457DB"/>
    <w:rsid w:val="00A5018C"/>
    <w:rsid w:val="00A50961"/>
    <w:rsid w:val="00A50A78"/>
    <w:rsid w:val="00A5131C"/>
    <w:rsid w:val="00A515AB"/>
    <w:rsid w:val="00A539C9"/>
    <w:rsid w:val="00A547B0"/>
    <w:rsid w:val="00A54F67"/>
    <w:rsid w:val="00A55DBB"/>
    <w:rsid w:val="00A605C9"/>
    <w:rsid w:val="00A61631"/>
    <w:rsid w:val="00A616A3"/>
    <w:rsid w:val="00A632DD"/>
    <w:rsid w:val="00A633DD"/>
    <w:rsid w:val="00A644F5"/>
    <w:rsid w:val="00A70342"/>
    <w:rsid w:val="00A743D9"/>
    <w:rsid w:val="00A749B5"/>
    <w:rsid w:val="00A750C8"/>
    <w:rsid w:val="00A7520A"/>
    <w:rsid w:val="00A75E46"/>
    <w:rsid w:val="00A8215B"/>
    <w:rsid w:val="00A8254C"/>
    <w:rsid w:val="00A83EB8"/>
    <w:rsid w:val="00A840AE"/>
    <w:rsid w:val="00A843E5"/>
    <w:rsid w:val="00A8710A"/>
    <w:rsid w:val="00A87A39"/>
    <w:rsid w:val="00A87A9A"/>
    <w:rsid w:val="00A90AFA"/>
    <w:rsid w:val="00A910BF"/>
    <w:rsid w:val="00A939A6"/>
    <w:rsid w:val="00A95450"/>
    <w:rsid w:val="00AA1452"/>
    <w:rsid w:val="00AA2180"/>
    <w:rsid w:val="00AA60C1"/>
    <w:rsid w:val="00AB2438"/>
    <w:rsid w:val="00AB3838"/>
    <w:rsid w:val="00AC0402"/>
    <w:rsid w:val="00AC1090"/>
    <w:rsid w:val="00AC11B1"/>
    <w:rsid w:val="00AC6F36"/>
    <w:rsid w:val="00AD0F72"/>
    <w:rsid w:val="00AD10F8"/>
    <w:rsid w:val="00AD29EB"/>
    <w:rsid w:val="00AD2DC9"/>
    <w:rsid w:val="00AD4848"/>
    <w:rsid w:val="00AD79F2"/>
    <w:rsid w:val="00AE00DF"/>
    <w:rsid w:val="00AE301E"/>
    <w:rsid w:val="00AE3F78"/>
    <w:rsid w:val="00AE4CC2"/>
    <w:rsid w:val="00AE61FB"/>
    <w:rsid w:val="00AE628A"/>
    <w:rsid w:val="00AE6929"/>
    <w:rsid w:val="00AF171E"/>
    <w:rsid w:val="00AF2B07"/>
    <w:rsid w:val="00AF7658"/>
    <w:rsid w:val="00AF7F41"/>
    <w:rsid w:val="00B01586"/>
    <w:rsid w:val="00B03420"/>
    <w:rsid w:val="00B03E3E"/>
    <w:rsid w:val="00B048CB"/>
    <w:rsid w:val="00B0638C"/>
    <w:rsid w:val="00B10711"/>
    <w:rsid w:val="00B17D45"/>
    <w:rsid w:val="00B17FE8"/>
    <w:rsid w:val="00B207F1"/>
    <w:rsid w:val="00B21A86"/>
    <w:rsid w:val="00B21B68"/>
    <w:rsid w:val="00B22338"/>
    <w:rsid w:val="00B24BD4"/>
    <w:rsid w:val="00B25EFF"/>
    <w:rsid w:val="00B33F21"/>
    <w:rsid w:val="00B34B5D"/>
    <w:rsid w:val="00B34C03"/>
    <w:rsid w:val="00B35B3A"/>
    <w:rsid w:val="00B36491"/>
    <w:rsid w:val="00B36D9E"/>
    <w:rsid w:val="00B37F5E"/>
    <w:rsid w:val="00B41A0A"/>
    <w:rsid w:val="00B43E05"/>
    <w:rsid w:val="00B44E1A"/>
    <w:rsid w:val="00B45172"/>
    <w:rsid w:val="00B475F5"/>
    <w:rsid w:val="00B47808"/>
    <w:rsid w:val="00B53483"/>
    <w:rsid w:val="00B54130"/>
    <w:rsid w:val="00B56C70"/>
    <w:rsid w:val="00B57101"/>
    <w:rsid w:val="00B61C31"/>
    <w:rsid w:val="00B64AF2"/>
    <w:rsid w:val="00B65D45"/>
    <w:rsid w:val="00B66F91"/>
    <w:rsid w:val="00B6739A"/>
    <w:rsid w:val="00B67B0D"/>
    <w:rsid w:val="00B72F1B"/>
    <w:rsid w:val="00B75490"/>
    <w:rsid w:val="00B7583E"/>
    <w:rsid w:val="00B762B2"/>
    <w:rsid w:val="00B76929"/>
    <w:rsid w:val="00B77B88"/>
    <w:rsid w:val="00B833B0"/>
    <w:rsid w:val="00B835BE"/>
    <w:rsid w:val="00B836FA"/>
    <w:rsid w:val="00B87FA8"/>
    <w:rsid w:val="00B90CC6"/>
    <w:rsid w:val="00B924E4"/>
    <w:rsid w:val="00B9370D"/>
    <w:rsid w:val="00B97E53"/>
    <w:rsid w:val="00BA26F4"/>
    <w:rsid w:val="00BA2905"/>
    <w:rsid w:val="00BA508B"/>
    <w:rsid w:val="00BA62B5"/>
    <w:rsid w:val="00BA6453"/>
    <w:rsid w:val="00BB0AC5"/>
    <w:rsid w:val="00BB0C66"/>
    <w:rsid w:val="00BB1482"/>
    <w:rsid w:val="00BB50F0"/>
    <w:rsid w:val="00BB5AE5"/>
    <w:rsid w:val="00BC151D"/>
    <w:rsid w:val="00BC19C1"/>
    <w:rsid w:val="00BC1E3D"/>
    <w:rsid w:val="00BC4ADD"/>
    <w:rsid w:val="00BC4EB8"/>
    <w:rsid w:val="00BC7A95"/>
    <w:rsid w:val="00BD10B4"/>
    <w:rsid w:val="00BD3059"/>
    <w:rsid w:val="00BD5B72"/>
    <w:rsid w:val="00BE070D"/>
    <w:rsid w:val="00BE29BB"/>
    <w:rsid w:val="00BE2A3F"/>
    <w:rsid w:val="00BE348A"/>
    <w:rsid w:val="00BE4846"/>
    <w:rsid w:val="00BE53EB"/>
    <w:rsid w:val="00BE64FE"/>
    <w:rsid w:val="00BE6751"/>
    <w:rsid w:val="00BE6D93"/>
    <w:rsid w:val="00BE723F"/>
    <w:rsid w:val="00BF13CB"/>
    <w:rsid w:val="00BF1CE0"/>
    <w:rsid w:val="00BF25A4"/>
    <w:rsid w:val="00BF27C9"/>
    <w:rsid w:val="00BF28A8"/>
    <w:rsid w:val="00BF326B"/>
    <w:rsid w:val="00BF43C7"/>
    <w:rsid w:val="00BF51B2"/>
    <w:rsid w:val="00BF5275"/>
    <w:rsid w:val="00BF59FD"/>
    <w:rsid w:val="00BF71E4"/>
    <w:rsid w:val="00BF7BE3"/>
    <w:rsid w:val="00C0032C"/>
    <w:rsid w:val="00C03C78"/>
    <w:rsid w:val="00C07BE2"/>
    <w:rsid w:val="00C10F13"/>
    <w:rsid w:val="00C11734"/>
    <w:rsid w:val="00C125BE"/>
    <w:rsid w:val="00C13190"/>
    <w:rsid w:val="00C13CA9"/>
    <w:rsid w:val="00C14CD7"/>
    <w:rsid w:val="00C17559"/>
    <w:rsid w:val="00C17959"/>
    <w:rsid w:val="00C21B6B"/>
    <w:rsid w:val="00C2281D"/>
    <w:rsid w:val="00C23A69"/>
    <w:rsid w:val="00C24388"/>
    <w:rsid w:val="00C261DB"/>
    <w:rsid w:val="00C272CA"/>
    <w:rsid w:val="00C27827"/>
    <w:rsid w:val="00C32B8B"/>
    <w:rsid w:val="00C34B9C"/>
    <w:rsid w:val="00C34C23"/>
    <w:rsid w:val="00C35D87"/>
    <w:rsid w:val="00C37A9D"/>
    <w:rsid w:val="00C441A2"/>
    <w:rsid w:val="00C45B92"/>
    <w:rsid w:val="00C51CF9"/>
    <w:rsid w:val="00C54D23"/>
    <w:rsid w:val="00C56731"/>
    <w:rsid w:val="00C57230"/>
    <w:rsid w:val="00C62631"/>
    <w:rsid w:val="00C642A6"/>
    <w:rsid w:val="00C653F6"/>
    <w:rsid w:val="00C70A4E"/>
    <w:rsid w:val="00C70D56"/>
    <w:rsid w:val="00C70DA2"/>
    <w:rsid w:val="00C71333"/>
    <w:rsid w:val="00C714D1"/>
    <w:rsid w:val="00C720C2"/>
    <w:rsid w:val="00C75555"/>
    <w:rsid w:val="00C76B58"/>
    <w:rsid w:val="00C77022"/>
    <w:rsid w:val="00C77100"/>
    <w:rsid w:val="00C85017"/>
    <w:rsid w:val="00C858D6"/>
    <w:rsid w:val="00C859A5"/>
    <w:rsid w:val="00C85E2B"/>
    <w:rsid w:val="00C868FB"/>
    <w:rsid w:val="00C8699E"/>
    <w:rsid w:val="00C86F49"/>
    <w:rsid w:val="00C87049"/>
    <w:rsid w:val="00C87A8B"/>
    <w:rsid w:val="00C90225"/>
    <w:rsid w:val="00C91C6E"/>
    <w:rsid w:val="00C9287F"/>
    <w:rsid w:val="00C930EC"/>
    <w:rsid w:val="00C93390"/>
    <w:rsid w:val="00C93D78"/>
    <w:rsid w:val="00CA0FEA"/>
    <w:rsid w:val="00CA2659"/>
    <w:rsid w:val="00CA3675"/>
    <w:rsid w:val="00CA3A6F"/>
    <w:rsid w:val="00CA43A4"/>
    <w:rsid w:val="00CA7B4F"/>
    <w:rsid w:val="00CA7DE3"/>
    <w:rsid w:val="00CB0884"/>
    <w:rsid w:val="00CB6550"/>
    <w:rsid w:val="00CB678D"/>
    <w:rsid w:val="00CB7109"/>
    <w:rsid w:val="00CB7206"/>
    <w:rsid w:val="00CB7813"/>
    <w:rsid w:val="00CC2DE2"/>
    <w:rsid w:val="00CC3EF6"/>
    <w:rsid w:val="00CC4974"/>
    <w:rsid w:val="00CC5F1B"/>
    <w:rsid w:val="00CD0CCE"/>
    <w:rsid w:val="00CD2A77"/>
    <w:rsid w:val="00CD2DF4"/>
    <w:rsid w:val="00CD3C65"/>
    <w:rsid w:val="00CD4572"/>
    <w:rsid w:val="00CD464D"/>
    <w:rsid w:val="00CD51DF"/>
    <w:rsid w:val="00CD6108"/>
    <w:rsid w:val="00CD7401"/>
    <w:rsid w:val="00CD7E73"/>
    <w:rsid w:val="00CE39E2"/>
    <w:rsid w:val="00CE4D3A"/>
    <w:rsid w:val="00CE7678"/>
    <w:rsid w:val="00CF008F"/>
    <w:rsid w:val="00CF0C48"/>
    <w:rsid w:val="00CF0ECD"/>
    <w:rsid w:val="00CF1974"/>
    <w:rsid w:val="00D0027E"/>
    <w:rsid w:val="00D0158A"/>
    <w:rsid w:val="00D0215D"/>
    <w:rsid w:val="00D02736"/>
    <w:rsid w:val="00D05035"/>
    <w:rsid w:val="00D066D8"/>
    <w:rsid w:val="00D149D4"/>
    <w:rsid w:val="00D15098"/>
    <w:rsid w:val="00D1775C"/>
    <w:rsid w:val="00D207ED"/>
    <w:rsid w:val="00D21A36"/>
    <w:rsid w:val="00D23A75"/>
    <w:rsid w:val="00D24D67"/>
    <w:rsid w:val="00D25179"/>
    <w:rsid w:val="00D261C3"/>
    <w:rsid w:val="00D26C41"/>
    <w:rsid w:val="00D275F4"/>
    <w:rsid w:val="00D320D6"/>
    <w:rsid w:val="00D3639F"/>
    <w:rsid w:val="00D40243"/>
    <w:rsid w:val="00D405AC"/>
    <w:rsid w:val="00D444E0"/>
    <w:rsid w:val="00D45639"/>
    <w:rsid w:val="00D4579A"/>
    <w:rsid w:val="00D45963"/>
    <w:rsid w:val="00D477D1"/>
    <w:rsid w:val="00D5091E"/>
    <w:rsid w:val="00D51A00"/>
    <w:rsid w:val="00D525BD"/>
    <w:rsid w:val="00D526F9"/>
    <w:rsid w:val="00D53805"/>
    <w:rsid w:val="00D54FAC"/>
    <w:rsid w:val="00D564BD"/>
    <w:rsid w:val="00D571F6"/>
    <w:rsid w:val="00D6240A"/>
    <w:rsid w:val="00D63652"/>
    <w:rsid w:val="00D657C4"/>
    <w:rsid w:val="00D66957"/>
    <w:rsid w:val="00D71ABC"/>
    <w:rsid w:val="00D71F27"/>
    <w:rsid w:val="00D73C01"/>
    <w:rsid w:val="00D75C91"/>
    <w:rsid w:val="00D76086"/>
    <w:rsid w:val="00D766C2"/>
    <w:rsid w:val="00D80D62"/>
    <w:rsid w:val="00D80F1C"/>
    <w:rsid w:val="00D840C3"/>
    <w:rsid w:val="00D863D3"/>
    <w:rsid w:val="00D90311"/>
    <w:rsid w:val="00D93A70"/>
    <w:rsid w:val="00D96183"/>
    <w:rsid w:val="00D96B5A"/>
    <w:rsid w:val="00D96F63"/>
    <w:rsid w:val="00D97E4A"/>
    <w:rsid w:val="00DA11E2"/>
    <w:rsid w:val="00DA6C03"/>
    <w:rsid w:val="00DA7FCC"/>
    <w:rsid w:val="00DB128F"/>
    <w:rsid w:val="00DB20C3"/>
    <w:rsid w:val="00DB303E"/>
    <w:rsid w:val="00DB39CA"/>
    <w:rsid w:val="00DB3E68"/>
    <w:rsid w:val="00DB4E25"/>
    <w:rsid w:val="00DC081C"/>
    <w:rsid w:val="00DC1CFE"/>
    <w:rsid w:val="00DC219E"/>
    <w:rsid w:val="00DC2B68"/>
    <w:rsid w:val="00DC2CB8"/>
    <w:rsid w:val="00DC3BBC"/>
    <w:rsid w:val="00DC4011"/>
    <w:rsid w:val="00DD056F"/>
    <w:rsid w:val="00DD0908"/>
    <w:rsid w:val="00DD1BDD"/>
    <w:rsid w:val="00DD1E1F"/>
    <w:rsid w:val="00DD2B50"/>
    <w:rsid w:val="00DD3076"/>
    <w:rsid w:val="00DD364A"/>
    <w:rsid w:val="00DD439B"/>
    <w:rsid w:val="00DD481F"/>
    <w:rsid w:val="00DD54FB"/>
    <w:rsid w:val="00DD56F2"/>
    <w:rsid w:val="00DD6BAA"/>
    <w:rsid w:val="00DE1A4E"/>
    <w:rsid w:val="00DE31DE"/>
    <w:rsid w:val="00DE571E"/>
    <w:rsid w:val="00DE5987"/>
    <w:rsid w:val="00DE7CEE"/>
    <w:rsid w:val="00DF074E"/>
    <w:rsid w:val="00DF2B46"/>
    <w:rsid w:val="00DF37D8"/>
    <w:rsid w:val="00DF3D56"/>
    <w:rsid w:val="00DF491C"/>
    <w:rsid w:val="00DF578B"/>
    <w:rsid w:val="00E06623"/>
    <w:rsid w:val="00E066B1"/>
    <w:rsid w:val="00E06E9D"/>
    <w:rsid w:val="00E07F03"/>
    <w:rsid w:val="00E133F8"/>
    <w:rsid w:val="00E13E57"/>
    <w:rsid w:val="00E1474E"/>
    <w:rsid w:val="00E161FA"/>
    <w:rsid w:val="00E1764E"/>
    <w:rsid w:val="00E2059B"/>
    <w:rsid w:val="00E209A5"/>
    <w:rsid w:val="00E22E65"/>
    <w:rsid w:val="00E2551A"/>
    <w:rsid w:val="00E27FE9"/>
    <w:rsid w:val="00E31FC0"/>
    <w:rsid w:val="00E32273"/>
    <w:rsid w:val="00E33039"/>
    <w:rsid w:val="00E330A5"/>
    <w:rsid w:val="00E35B80"/>
    <w:rsid w:val="00E3628A"/>
    <w:rsid w:val="00E36EEC"/>
    <w:rsid w:val="00E43879"/>
    <w:rsid w:val="00E46CCD"/>
    <w:rsid w:val="00E548A3"/>
    <w:rsid w:val="00E561AC"/>
    <w:rsid w:val="00E5693B"/>
    <w:rsid w:val="00E57DCB"/>
    <w:rsid w:val="00E67A7D"/>
    <w:rsid w:val="00E70EB7"/>
    <w:rsid w:val="00E71BA4"/>
    <w:rsid w:val="00E73A34"/>
    <w:rsid w:val="00E75305"/>
    <w:rsid w:val="00E76F0E"/>
    <w:rsid w:val="00E77E37"/>
    <w:rsid w:val="00E826A2"/>
    <w:rsid w:val="00E82B8B"/>
    <w:rsid w:val="00E82EDC"/>
    <w:rsid w:val="00E8416F"/>
    <w:rsid w:val="00E844FF"/>
    <w:rsid w:val="00E8462A"/>
    <w:rsid w:val="00E84B06"/>
    <w:rsid w:val="00E86BB3"/>
    <w:rsid w:val="00E87112"/>
    <w:rsid w:val="00E87D00"/>
    <w:rsid w:val="00E92997"/>
    <w:rsid w:val="00E934E1"/>
    <w:rsid w:val="00E93B63"/>
    <w:rsid w:val="00E95A58"/>
    <w:rsid w:val="00EA0225"/>
    <w:rsid w:val="00EA0F20"/>
    <w:rsid w:val="00EA30C5"/>
    <w:rsid w:val="00EA3AF4"/>
    <w:rsid w:val="00EA50AF"/>
    <w:rsid w:val="00EA5B59"/>
    <w:rsid w:val="00EA7077"/>
    <w:rsid w:val="00EA76B5"/>
    <w:rsid w:val="00EB02FA"/>
    <w:rsid w:val="00EB49EA"/>
    <w:rsid w:val="00EB5B64"/>
    <w:rsid w:val="00EB68D5"/>
    <w:rsid w:val="00EB7DD4"/>
    <w:rsid w:val="00EC00BC"/>
    <w:rsid w:val="00EC0DBD"/>
    <w:rsid w:val="00EC10FB"/>
    <w:rsid w:val="00EC119F"/>
    <w:rsid w:val="00EC66E8"/>
    <w:rsid w:val="00EC6B1D"/>
    <w:rsid w:val="00EC6F2C"/>
    <w:rsid w:val="00ED0159"/>
    <w:rsid w:val="00ED0969"/>
    <w:rsid w:val="00ED4A32"/>
    <w:rsid w:val="00ED5E0D"/>
    <w:rsid w:val="00ED65D0"/>
    <w:rsid w:val="00EE4556"/>
    <w:rsid w:val="00EE6185"/>
    <w:rsid w:val="00EE64EC"/>
    <w:rsid w:val="00EF1812"/>
    <w:rsid w:val="00EF206A"/>
    <w:rsid w:val="00EF4640"/>
    <w:rsid w:val="00EF564C"/>
    <w:rsid w:val="00EF5812"/>
    <w:rsid w:val="00EF71AC"/>
    <w:rsid w:val="00EF7317"/>
    <w:rsid w:val="00EF7877"/>
    <w:rsid w:val="00F0157E"/>
    <w:rsid w:val="00F0232C"/>
    <w:rsid w:val="00F03620"/>
    <w:rsid w:val="00F0482E"/>
    <w:rsid w:val="00F04BDE"/>
    <w:rsid w:val="00F07939"/>
    <w:rsid w:val="00F130B8"/>
    <w:rsid w:val="00F1546E"/>
    <w:rsid w:val="00F16642"/>
    <w:rsid w:val="00F172F9"/>
    <w:rsid w:val="00F17ECF"/>
    <w:rsid w:val="00F223A5"/>
    <w:rsid w:val="00F229D3"/>
    <w:rsid w:val="00F25D8F"/>
    <w:rsid w:val="00F26BDC"/>
    <w:rsid w:val="00F3099B"/>
    <w:rsid w:val="00F40843"/>
    <w:rsid w:val="00F42234"/>
    <w:rsid w:val="00F43D76"/>
    <w:rsid w:val="00F43DEC"/>
    <w:rsid w:val="00F43EA8"/>
    <w:rsid w:val="00F45897"/>
    <w:rsid w:val="00F47278"/>
    <w:rsid w:val="00F507F8"/>
    <w:rsid w:val="00F508DF"/>
    <w:rsid w:val="00F54F34"/>
    <w:rsid w:val="00F57454"/>
    <w:rsid w:val="00F61362"/>
    <w:rsid w:val="00F616A7"/>
    <w:rsid w:val="00F62444"/>
    <w:rsid w:val="00F62F3D"/>
    <w:rsid w:val="00F64824"/>
    <w:rsid w:val="00F6531E"/>
    <w:rsid w:val="00F667C0"/>
    <w:rsid w:val="00F66A7D"/>
    <w:rsid w:val="00F6773A"/>
    <w:rsid w:val="00F67E95"/>
    <w:rsid w:val="00F73828"/>
    <w:rsid w:val="00F76BBE"/>
    <w:rsid w:val="00F8028E"/>
    <w:rsid w:val="00F80633"/>
    <w:rsid w:val="00F811B8"/>
    <w:rsid w:val="00F82252"/>
    <w:rsid w:val="00F82ADB"/>
    <w:rsid w:val="00F864FF"/>
    <w:rsid w:val="00F87AC5"/>
    <w:rsid w:val="00F90839"/>
    <w:rsid w:val="00F91676"/>
    <w:rsid w:val="00F97097"/>
    <w:rsid w:val="00F9714B"/>
    <w:rsid w:val="00F97890"/>
    <w:rsid w:val="00FA17F1"/>
    <w:rsid w:val="00FA3534"/>
    <w:rsid w:val="00FA48EF"/>
    <w:rsid w:val="00FA4A50"/>
    <w:rsid w:val="00FA4B80"/>
    <w:rsid w:val="00FB2F1F"/>
    <w:rsid w:val="00FB2F7A"/>
    <w:rsid w:val="00FB2FFC"/>
    <w:rsid w:val="00FC25F0"/>
    <w:rsid w:val="00FC3380"/>
    <w:rsid w:val="00FC4A99"/>
    <w:rsid w:val="00FC5AE4"/>
    <w:rsid w:val="00FC6AE0"/>
    <w:rsid w:val="00FD0EB3"/>
    <w:rsid w:val="00FD6727"/>
    <w:rsid w:val="00FE0ACE"/>
    <w:rsid w:val="00FE3A1B"/>
    <w:rsid w:val="00FE4EF8"/>
    <w:rsid w:val="00FE512A"/>
    <w:rsid w:val="00FE5EC0"/>
    <w:rsid w:val="00FE7712"/>
    <w:rsid w:val="00FF10D4"/>
    <w:rsid w:val="00FF18C8"/>
    <w:rsid w:val="00FF429E"/>
    <w:rsid w:val="00FF5205"/>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ED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DBD"/>
    <w:rPr>
      <w:sz w:val="24"/>
      <w:szCs w:val="24"/>
    </w:rPr>
  </w:style>
  <w:style w:type="paragraph" w:styleId="Heading4">
    <w:name w:val="heading 4"/>
    <w:basedOn w:val="Normal"/>
    <w:next w:val="Normal"/>
    <w:link w:val="Heading4Char"/>
    <w:qFormat/>
    <w:rsid w:val="007518D8"/>
    <w:pPr>
      <w:keepNext/>
      <w:outlineLvl w:val="3"/>
    </w:pPr>
    <w:rPr>
      <w:rFonts w:ascii="Palatino" w:hAnsi="Palatino"/>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paragraph" w:styleId="BlockText">
    <w:name w:val="Block Text"/>
    <w:basedOn w:val="Normal"/>
    <w:rsid w:val="007518D8"/>
    <w:pPr>
      <w:overflowPunct w:val="0"/>
      <w:autoSpaceDE w:val="0"/>
      <w:autoSpaceDN w:val="0"/>
      <w:adjustRightInd w:val="0"/>
      <w:ind w:left="720" w:right="720"/>
      <w:jc w:val="both"/>
      <w:textAlignment w:val="baseline"/>
    </w:pPr>
    <w:rPr>
      <w:rFonts w:ascii="Palatino" w:hAnsi="Palatino"/>
      <w:szCs w:val="20"/>
    </w:rPr>
  </w:style>
  <w:style w:type="character" w:customStyle="1" w:styleId="Heading4Char">
    <w:name w:val="Heading 4 Char"/>
    <w:basedOn w:val="DefaultParagraphFont"/>
    <w:link w:val="Heading4"/>
    <w:rsid w:val="007518D8"/>
    <w:rPr>
      <w:rFonts w:ascii="Palatino" w:hAnsi="Palatino"/>
      <w:b/>
      <w:sz w:val="26"/>
    </w:rPr>
  </w:style>
  <w:style w:type="paragraph" w:styleId="BodyText">
    <w:name w:val="Body Text"/>
    <w:basedOn w:val="Normal"/>
    <w:link w:val="BodyTextChar"/>
    <w:rsid w:val="007518D8"/>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7518D8"/>
    <w:rPr>
      <w:sz w:val="24"/>
    </w:rPr>
  </w:style>
  <w:style w:type="paragraph" w:styleId="FootnoteText">
    <w:name w:val="footnote text"/>
    <w:basedOn w:val="Normal"/>
    <w:link w:val="FootnoteTextChar"/>
    <w:rsid w:val="007518D8"/>
    <w:rPr>
      <w:sz w:val="20"/>
      <w:szCs w:val="20"/>
    </w:rPr>
  </w:style>
  <w:style w:type="character" w:customStyle="1" w:styleId="FootnoteTextChar">
    <w:name w:val="Footnote Text Char"/>
    <w:basedOn w:val="DefaultParagraphFont"/>
    <w:link w:val="FootnoteText"/>
    <w:rsid w:val="007518D8"/>
  </w:style>
  <w:style w:type="character" w:styleId="FootnoteReference">
    <w:name w:val="footnote reference"/>
    <w:rsid w:val="007518D8"/>
    <w:rPr>
      <w:vertAlign w:val="superscript"/>
    </w:rPr>
  </w:style>
  <w:style w:type="character" w:customStyle="1" w:styleId="HeaderChar">
    <w:name w:val="Header Char"/>
    <w:basedOn w:val="DefaultParagraphFont"/>
    <w:link w:val="Header"/>
    <w:uiPriority w:val="99"/>
    <w:rsid w:val="007518D8"/>
    <w:rPr>
      <w:sz w:val="24"/>
      <w:szCs w:val="24"/>
    </w:rPr>
  </w:style>
  <w:style w:type="character" w:customStyle="1" w:styleId="FooterChar">
    <w:name w:val="Footer Char"/>
    <w:basedOn w:val="DefaultParagraphFont"/>
    <w:link w:val="Footer"/>
    <w:uiPriority w:val="99"/>
    <w:rsid w:val="007518D8"/>
    <w:rPr>
      <w:sz w:val="24"/>
      <w:szCs w:val="24"/>
    </w:rPr>
  </w:style>
  <w:style w:type="table" w:styleId="TableGrid">
    <w:name w:val="Table Grid"/>
    <w:basedOn w:val="TableNormal"/>
    <w:uiPriority w:val="59"/>
    <w:rsid w:val="007518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7791"/>
    <w:rPr>
      <w:color w:val="0000FF"/>
      <w:u w:val="single"/>
    </w:rPr>
  </w:style>
  <w:style w:type="character" w:customStyle="1" w:styleId="apple-style-span">
    <w:name w:val="apple-style-span"/>
    <w:basedOn w:val="DefaultParagraphFont"/>
    <w:rsid w:val="00417791"/>
  </w:style>
  <w:style w:type="paragraph" w:styleId="ListParagraph">
    <w:name w:val="List Paragraph"/>
    <w:basedOn w:val="Normal"/>
    <w:uiPriority w:val="34"/>
    <w:qFormat/>
    <w:rsid w:val="00417791"/>
    <w:pPr>
      <w:ind w:left="720"/>
      <w:contextualSpacing/>
    </w:pPr>
    <w:rPr>
      <w:sz w:val="20"/>
      <w:szCs w:val="20"/>
    </w:rPr>
  </w:style>
  <w:style w:type="paragraph" w:styleId="BalloonText">
    <w:name w:val="Balloon Text"/>
    <w:basedOn w:val="Normal"/>
    <w:link w:val="BalloonTextChar"/>
    <w:rsid w:val="001E782D"/>
    <w:rPr>
      <w:rFonts w:ascii="Tahoma" w:hAnsi="Tahoma" w:cs="Tahoma"/>
      <w:sz w:val="16"/>
      <w:szCs w:val="16"/>
    </w:rPr>
  </w:style>
  <w:style w:type="character" w:customStyle="1" w:styleId="BalloonTextChar">
    <w:name w:val="Balloon Text Char"/>
    <w:basedOn w:val="DefaultParagraphFont"/>
    <w:link w:val="BalloonText"/>
    <w:rsid w:val="001E782D"/>
    <w:rPr>
      <w:rFonts w:ascii="Tahoma" w:hAnsi="Tahoma" w:cs="Tahoma"/>
      <w:sz w:val="16"/>
      <w:szCs w:val="16"/>
    </w:rPr>
  </w:style>
  <w:style w:type="character" w:styleId="CommentReference">
    <w:name w:val="annotation reference"/>
    <w:basedOn w:val="DefaultParagraphFont"/>
    <w:rsid w:val="0093198E"/>
    <w:rPr>
      <w:sz w:val="16"/>
      <w:szCs w:val="16"/>
    </w:rPr>
  </w:style>
  <w:style w:type="paragraph" w:styleId="CommentText">
    <w:name w:val="annotation text"/>
    <w:basedOn w:val="Normal"/>
    <w:link w:val="CommentTextChar"/>
    <w:rsid w:val="0093198E"/>
    <w:rPr>
      <w:sz w:val="20"/>
      <w:szCs w:val="20"/>
    </w:rPr>
  </w:style>
  <w:style w:type="character" w:customStyle="1" w:styleId="CommentTextChar">
    <w:name w:val="Comment Text Char"/>
    <w:basedOn w:val="DefaultParagraphFont"/>
    <w:link w:val="CommentText"/>
    <w:rsid w:val="0093198E"/>
  </w:style>
  <w:style w:type="paragraph" w:styleId="CommentSubject">
    <w:name w:val="annotation subject"/>
    <w:basedOn w:val="CommentText"/>
    <w:next w:val="CommentText"/>
    <w:link w:val="CommentSubjectChar"/>
    <w:rsid w:val="0093198E"/>
    <w:rPr>
      <w:b/>
      <w:bCs/>
    </w:rPr>
  </w:style>
  <w:style w:type="character" w:customStyle="1" w:styleId="CommentSubjectChar">
    <w:name w:val="Comment Subject Char"/>
    <w:basedOn w:val="CommentTextChar"/>
    <w:link w:val="CommentSubject"/>
    <w:rsid w:val="00931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udget.ca.gov/FullBudgetSummary.pdf"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ebudget.ca.gov/FullBudgetSummary.pdf"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c.ca.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cpuc.ca.go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ebudget.ca.gov/FullBudgetSummary.pdf" TargetMode="Externa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ro9/cpiw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3154</Words>
  <Characters>17980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21092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&amp;lt;p&amp;gt;    PUBLIC UTILITIES COMMISSION OF THE STATE OF CALIFORNIA          Communications Division RESOLUTION T-XXXXX            RESOLUTION T-17292      (Branch Name) Month XX, 20XX            September 23, 2010        (spell out Comm Mtg. date)       R E S O L U T I O N       RESOLUTION T-XXXXX ______________________________&amp;lt;/p&amp;gt;</dc:subject>
  <dc:creator/>
  <cp:keywords> </cp:keywords>
  <dc:description> </dc:description>
  <cp:lastModifiedBy/>
  <cp:revision>1</cp:revision>
  <cp:lastPrinted>2014-11-10T19:11:00Z</cp:lastPrinted>
  <dcterms:created xsi:type="dcterms:W3CDTF">2019-06-27T21:09:00Z</dcterms:created>
  <dcterms:modified xsi:type="dcterms:W3CDTF">2019-06-27T21:09:00Z</dcterms:modified>
  <cp:category> </cp:category>
  <cp:contentStatus> </cp:contentStatus>
</cp:coreProperties>
</file>