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F3" w:rsidRPr="004D731F" w:rsidRDefault="002B56F3" w:rsidP="007B4FCA">
      <w:pPr>
        <w:pBdr>
          <w:bottom w:val="double" w:sz="4" w:space="1" w:color="auto"/>
        </w:pBdr>
        <w:tabs>
          <w:tab w:val="right" w:pos="9360"/>
        </w:tabs>
        <w:rPr>
          <w:rFonts w:ascii="Calibri" w:hAnsi="Calibri"/>
          <w:sz w:val="18"/>
          <w:szCs w:val="18"/>
        </w:rPr>
      </w:pPr>
      <w:r w:rsidRPr="004D731F">
        <w:rPr>
          <w:rFonts w:ascii="Calibri" w:hAnsi="Calibri"/>
          <w:sz w:val="18"/>
          <w:szCs w:val="18"/>
        </w:rPr>
        <w:t>STATE OF CALIFORNIA</w:t>
      </w:r>
      <w:r w:rsidR="009B51BC" w:rsidRPr="004D731F">
        <w:rPr>
          <w:rFonts w:ascii="Calibri" w:hAnsi="Calibri"/>
          <w:sz w:val="18"/>
          <w:szCs w:val="18"/>
        </w:rPr>
        <w:tab/>
      </w:r>
      <w:r w:rsidR="00E84AB2" w:rsidRPr="004D731F">
        <w:rPr>
          <w:rFonts w:ascii="Calibri" w:hAnsi="Calibri"/>
          <w:sz w:val="18"/>
          <w:szCs w:val="18"/>
        </w:rPr>
        <w:t>Edmund G. Brown Jr., Governor</w:t>
      </w:r>
    </w:p>
    <w:p w:rsidR="002B56F3" w:rsidRPr="004D731F" w:rsidRDefault="003E2E42" w:rsidP="00370B89">
      <w:pPr>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7728" behindDoc="0" locked="0" layoutInCell="1" allowOverlap="1" wp14:anchorId="7419B087" wp14:editId="1896257B">
                <wp:simplePos x="0" y="0"/>
                <wp:positionH relativeFrom="column">
                  <wp:posOffset>5218430</wp:posOffset>
                </wp:positionH>
                <wp:positionV relativeFrom="paragraph">
                  <wp:posOffset>66675</wp:posOffset>
                </wp:positionV>
                <wp:extent cx="848995" cy="759460"/>
                <wp:effectExtent l="8255" t="952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759460"/>
                        </a:xfrm>
                        <a:prstGeom prst="rect">
                          <a:avLst/>
                        </a:prstGeom>
                        <a:solidFill>
                          <a:srgbClr val="FFFFFF"/>
                        </a:solidFill>
                        <a:ln w="9525">
                          <a:solidFill>
                            <a:srgbClr val="FFFFFF"/>
                          </a:solidFill>
                          <a:miter lim="800000"/>
                          <a:headEnd/>
                          <a:tailEnd/>
                        </a:ln>
                      </wps:spPr>
                      <wps:txbx>
                        <w:txbxContent>
                          <w:p w:rsidR="007C0D9E" w:rsidRDefault="007C0D9E" w:rsidP="00370B89">
                            <w:r>
                              <w:rPr>
                                <w:noProof/>
                              </w:rPr>
                              <w:drawing>
                                <wp:inline distT="0" distB="0" distL="0" distR="0" wp14:anchorId="4A81390E" wp14:editId="5A76B988">
                                  <wp:extent cx="659130" cy="659130"/>
                                  <wp:effectExtent l="0" t="0" r="0" b="0"/>
                                  <wp:docPr id="1" name="Picture 1" descr="State Seal with White Ou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with White Outer Border"/>
                                          <pic:cNvPicPr>
                                            <a:picLocks noChangeAspect="1" noChangeArrowheads="1"/>
                                          </pic:cNvPicPr>
                                        </pic:nvPicPr>
                                        <pic:blipFill>
                                          <a:blip r:embed="rId10">
                                            <a:extLst>
                                              <a:ext uri="{28A0092B-C50C-407E-A947-70E740481C1C}">
                                                <a14:useLocalDpi xmlns:a14="http://schemas.microsoft.com/office/drawing/2010/main" val="0"/>
                                              </a:ext>
                                            </a:extLst>
                                          </a:blip>
                                          <a:srcRect t="2882" b="6288"/>
                                          <a:stretch>
                                            <a:fillRect/>
                                          </a:stretch>
                                        </pic:blipFill>
                                        <pic:spPr bwMode="auto">
                                          <a:xfrm>
                                            <a:off x="0" y="0"/>
                                            <a:ext cx="659130" cy="6591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9pt;margin-top:5.25pt;width:66.85pt;height:59.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" strokecolor="white">
                <v:textbox style="mso-fit-shape-to-text:t">
                  <w:txbxContent>
                    <w:p w:rsidR="007C0D9E" w:rsidRDefault="007C0D9E" w:rsidP="00370B89">
                      <w:r>
                        <w:rPr>
                          <w:noProof/>
                        </w:rPr>
                        <w:drawing>
                          <wp:inline distT="0" distB="0" distL="0" distR="0" wp14:anchorId="4A81390E" wp14:editId="5A76B988">
                            <wp:extent cx="659130" cy="659130"/>
                            <wp:effectExtent l="0" t="0" r="0" b="0"/>
                            <wp:docPr id="1" name="Picture 1" descr="State Seal with White Ou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with White Outer Border"/>
                                    <pic:cNvPicPr>
                                      <a:picLocks noChangeAspect="1" noChangeArrowheads="1"/>
                                    </pic:cNvPicPr>
                                  </pic:nvPicPr>
                                  <pic:blipFill>
                                    <a:blip r:embed="rId10">
                                      <a:extLst>
                                        <a:ext uri="{28A0092B-C50C-407E-A947-70E740481C1C}">
                                          <a14:useLocalDpi xmlns:a14="http://schemas.microsoft.com/office/drawing/2010/main" val="0"/>
                                        </a:ext>
                                      </a:extLst>
                                    </a:blip>
                                    <a:srcRect t="2882" b="6288"/>
                                    <a:stretch>
                                      <a:fillRect/>
                                    </a:stretch>
                                  </pic:blipFill>
                                  <pic:spPr bwMode="auto">
                                    <a:xfrm>
                                      <a:off x="0" y="0"/>
                                      <a:ext cx="659130" cy="659130"/>
                                    </a:xfrm>
                                    <a:prstGeom prst="rect">
                                      <a:avLst/>
                                    </a:prstGeom>
                                    <a:noFill/>
                                    <a:ln>
                                      <a:noFill/>
                                    </a:ln>
                                  </pic:spPr>
                                </pic:pic>
                              </a:graphicData>
                            </a:graphic>
                          </wp:inline>
                        </w:drawing>
                      </w:r>
                    </w:p>
                  </w:txbxContent>
                </v:textbox>
              </v:shape>
            </w:pict>
          </mc:Fallback>
        </mc:AlternateContent>
      </w:r>
      <w:r w:rsidR="002B56F3" w:rsidRPr="004D731F">
        <w:rPr>
          <w:rFonts w:ascii="Calibri" w:hAnsi="Calibri"/>
          <w:sz w:val="24"/>
          <w:szCs w:val="24"/>
        </w:rPr>
        <w:t>PUBLIC UTILITIES COMMISSION</w:t>
      </w:r>
    </w:p>
    <w:p w:rsidR="002B56F3" w:rsidRPr="004D731F" w:rsidRDefault="002B56F3" w:rsidP="00370B89">
      <w:pPr>
        <w:rPr>
          <w:rFonts w:ascii="Calibri" w:hAnsi="Calibri"/>
          <w:sz w:val="12"/>
          <w:szCs w:val="12"/>
        </w:rPr>
      </w:pPr>
      <w:r w:rsidRPr="004D731F">
        <w:rPr>
          <w:rFonts w:ascii="Calibri" w:hAnsi="Calibri"/>
          <w:sz w:val="12"/>
          <w:szCs w:val="12"/>
        </w:rPr>
        <w:t>505 VAN NESS AVENUE</w:t>
      </w:r>
    </w:p>
    <w:p w:rsidR="002B56F3" w:rsidRPr="004D731F" w:rsidRDefault="002B56F3" w:rsidP="00370B89">
      <w:pPr>
        <w:rPr>
          <w:rFonts w:ascii="Calibri" w:hAnsi="Calibri"/>
          <w:sz w:val="12"/>
          <w:szCs w:val="12"/>
        </w:rPr>
      </w:pPr>
      <w:r w:rsidRPr="004D731F">
        <w:rPr>
          <w:rFonts w:ascii="Calibri" w:hAnsi="Calibri"/>
          <w:sz w:val="12"/>
          <w:szCs w:val="12"/>
        </w:rPr>
        <w:t>SAN FRANCISCO, CA  94102-3298</w:t>
      </w:r>
    </w:p>
    <w:p w:rsidR="002B56F3" w:rsidRPr="007C13B3" w:rsidRDefault="002B56F3" w:rsidP="00370B89"/>
    <w:p w:rsidR="00B50EFB" w:rsidRDefault="00B50EFB" w:rsidP="00B50EFB">
      <w:pPr>
        <w:tabs>
          <w:tab w:val="left" w:pos="900"/>
        </w:tabs>
      </w:pPr>
    </w:p>
    <w:p w:rsidR="00B50EFB" w:rsidRDefault="00B50EFB" w:rsidP="00B50EFB">
      <w:pPr>
        <w:tabs>
          <w:tab w:val="left" w:pos="900"/>
        </w:tabs>
      </w:pPr>
    </w:p>
    <w:p w:rsidR="00537FDB" w:rsidRDefault="00537FDB" w:rsidP="00B50EFB">
      <w:pPr>
        <w:tabs>
          <w:tab w:val="left" w:pos="900"/>
        </w:tabs>
      </w:pPr>
    </w:p>
    <w:p w:rsidR="00377045" w:rsidRPr="001440FF" w:rsidRDefault="00B50EFB" w:rsidP="00B50EFB">
      <w:pPr>
        <w:tabs>
          <w:tab w:val="left" w:pos="900"/>
        </w:tabs>
      </w:pPr>
      <w:r>
        <w:t>TO:</w:t>
      </w:r>
      <w:r>
        <w:tab/>
      </w:r>
      <w:r w:rsidR="00C37825">
        <w:t>All Parties in R.13-11-005</w:t>
      </w:r>
    </w:p>
    <w:p w:rsidR="00C324E6" w:rsidRPr="001440FF" w:rsidRDefault="00B50EFB" w:rsidP="00B50EFB">
      <w:pPr>
        <w:tabs>
          <w:tab w:val="left" w:pos="900"/>
        </w:tabs>
      </w:pPr>
      <w:r>
        <w:t>FROM:</w:t>
      </w:r>
      <w:r>
        <w:tab/>
      </w:r>
      <w:r w:rsidR="00C37825">
        <w:t xml:space="preserve">Robert Hansen, Utilities Engineer </w:t>
      </w:r>
    </w:p>
    <w:p w:rsidR="00C324E6" w:rsidRPr="001440FF" w:rsidRDefault="00B50EFB" w:rsidP="00B50EFB">
      <w:pPr>
        <w:tabs>
          <w:tab w:val="left" w:pos="900"/>
        </w:tabs>
      </w:pPr>
      <w:r>
        <w:t>DATE:</w:t>
      </w:r>
      <w:r>
        <w:tab/>
      </w:r>
      <w:r w:rsidR="0011247A">
        <w:t>December 2</w:t>
      </w:r>
      <w:r w:rsidR="00647498">
        <w:t>2</w:t>
      </w:r>
      <w:r w:rsidR="00C37825">
        <w:t>, 2016</w:t>
      </w:r>
    </w:p>
    <w:p w:rsidR="00377045" w:rsidRDefault="00377045" w:rsidP="00370B89"/>
    <w:p w:rsidR="00B50EFB" w:rsidRDefault="00B50EFB" w:rsidP="00370B89"/>
    <w:p w:rsidR="00537FDB" w:rsidRPr="001440FF" w:rsidRDefault="00537FDB" w:rsidP="00370B89"/>
    <w:p w:rsidR="00377045" w:rsidRPr="00380F27" w:rsidRDefault="00C37825" w:rsidP="00370B89">
      <w:pPr>
        <w:rPr>
          <w:b/>
        </w:rPr>
      </w:pPr>
      <w:r>
        <w:rPr>
          <w:b/>
        </w:rPr>
        <w:t>SUBJECT</w:t>
      </w:r>
      <w:r w:rsidR="00377045" w:rsidRPr="00380F27">
        <w:rPr>
          <w:b/>
        </w:rPr>
        <w:t xml:space="preserve">: </w:t>
      </w:r>
      <w:r w:rsidRPr="00C37825">
        <w:rPr>
          <w:b/>
        </w:rPr>
        <w:t>Final 2017 Efficiency Savings and Performance Incentive (ESPI) Uncertain Measures List</w:t>
      </w:r>
    </w:p>
    <w:p w:rsidR="00834BD2" w:rsidRDefault="00834BD2" w:rsidP="00370B89"/>
    <w:p w:rsidR="00B50EFB" w:rsidRPr="001440FF" w:rsidRDefault="00B50EFB" w:rsidP="00370B89"/>
    <w:p w:rsidR="00377045" w:rsidRPr="001440FF" w:rsidRDefault="00C37825" w:rsidP="00370B89">
      <w:r>
        <w:t>To All Parties in R.13-11-005:</w:t>
      </w:r>
    </w:p>
    <w:p w:rsidR="00377045" w:rsidRPr="001440FF" w:rsidRDefault="00377045" w:rsidP="00370B89"/>
    <w:p w:rsidR="00346041" w:rsidRDefault="00B46425" w:rsidP="00537FDB">
      <w:pPr>
        <w:spacing w:after="240"/>
        <w:jc w:val="both"/>
      </w:pPr>
      <w:r>
        <w:t>Commission Staff</w:t>
      </w:r>
      <w:r w:rsidR="00377045" w:rsidRPr="001440FF">
        <w:t xml:space="preserve"> has </w:t>
      </w:r>
      <w:r w:rsidR="00C37825">
        <w:t>completed an assessment of current and projected measure savings uncertainty in order to produce the uncertain measures list, included as an attachment to this letter. The uncertain measures list is compiled on an annual basis in accordance to C</w:t>
      </w:r>
      <w:r w:rsidR="00DE001D">
        <w:t>ommission Decision D.13-09-023.</w:t>
      </w:r>
    </w:p>
    <w:p w:rsidR="008819DA" w:rsidRDefault="00DE001D" w:rsidP="008819DA">
      <w:pPr>
        <w:spacing w:after="180"/>
        <w:jc w:val="both"/>
      </w:pPr>
      <w:r>
        <w:t>The 2017 Uncertain Measures List</w:t>
      </w:r>
      <w:r w:rsidR="00346041">
        <w:t xml:space="preserve"> in Appendix A</w:t>
      </w:r>
      <w:r>
        <w:t xml:space="preserve"> </w:t>
      </w:r>
      <w:r w:rsidR="00F24EE0">
        <w:t>provides a list of measure groups which are to be claimed through ex-post analysis</w:t>
      </w:r>
      <w:r w:rsidR="00AE2250">
        <w:t>,</w:t>
      </w:r>
      <w:r w:rsidR="00F24EE0">
        <w:t xml:space="preserve"> and are recommended for upcoming evaluation studies</w:t>
      </w:r>
      <w:r w:rsidR="0011247A">
        <w:t xml:space="preserve">. </w:t>
      </w:r>
      <w:r w:rsidR="00AE2250">
        <w:t>Since p</w:t>
      </w:r>
      <w:r w:rsidR="00F24EE0">
        <w:t xml:space="preserve">rogram administrators define </w:t>
      </w:r>
      <w:r w:rsidR="00AE2250">
        <w:t xml:space="preserve">non-standard </w:t>
      </w:r>
      <w:r w:rsidR="00F24EE0">
        <w:t>measure names</w:t>
      </w:r>
      <w:r w:rsidR="00AE2250">
        <w:t xml:space="preserve">, </w:t>
      </w:r>
      <w:r w:rsidR="00647498">
        <w:t>measures</w:t>
      </w:r>
      <w:r w:rsidR="00AE2250">
        <w:t xml:space="preserve"> </w:t>
      </w:r>
      <w:proofErr w:type="spellStart"/>
      <w:r w:rsidR="00AE2250">
        <w:t>assigne</w:t>
      </w:r>
      <w:r w:rsidR="00647498">
        <w:t>nment</w:t>
      </w:r>
      <w:proofErr w:type="spellEnd"/>
      <w:r w:rsidR="00AE2250">
        <w:t xml:space="preserve"> to measure groups</w:t>
      </w:r>
      <w:r w:rsidR="00647498">
        <w:t xml:space="preserve"> was performed</w:t>
      </w:r>
      <w:r w:rsidR="00AE2250">
        <w:t xml:space="preserve"> by Energy Division</w:t>
      </w:r>
      <w:r w:rsidR="00F24EE0">
        <w:t xml:space="preserve">. </w:t>
      </w:r>
      <w:r w:rsidR="0011247A">
        <w:t xml:space="preserve">The list of measure groups varies slightly year-to-year, but in a given year of claims, each measure associated with one or more claims will be mapped to a measure group. Because the list of measures is extensive and varies across programs and years, </w:t>
      </w:r>
      <w:r w:rsidR="001D40FC">
        <w:t>a current version</w:t>
      </w:r>
      <w:r w:rsidR="0011247A">
        <w:t xml:space="preserve"> </w:t>
      </w:r>
      <w:r w:rsidR="001D40FC">
        <w:t>of the mapping is</w:t>
      </w:r>
      <w:r w:rsidR="0011247A">
        <w:t xml:space="preserve"> available from Energy Division upon request. In preparing the uncertain measures list in Appendix A, Energy Division performed a parameterized uncertainty analysis of all </w:t>
      </w:r>
      <w:r w:rsidR="001D40FC">
        <w:t xml:space="preserve">deemed energy savings </w:t>
      </w:r>
      <w:r w:rsidR="0011247A">
        <w:t>claims from 2015</w:t>
      </w:r>
      <w:r w:rsidR="001D40FC">
        <w:t xml:space="preserve">, producing a sortable table, which shows the </w:t>
      </w:r>
      <w:r w:rsidR="0011247A">
        <w:t>percent contributions to total uncertaint</w:t>
      </w:r>
      <w:r w:rsidR="00804BAC">
        <w:t xml:space="preserve">y in </w:t>
      </w:r>
      <w:r w:rsidR="001D40FC">
        <w:t xml:space="preserve">kWh, kW, and </w:t>
      </w:r>
      <w:proofErr w:type="spellStart"/>
      <w:r w:rsidR="001D40FC">
        <w:t>Therm</w:t>
      </w:r>
      <w:proofErr w:type="spellEnd"/>
      <w:r w:rsidR="00804BAC">
        <w:t xml:space="preserve"> savings by measure group at the state</w:t>
      </w:r>
      <w:r w:rsidR="0011247A">
        <w:t>wide</w:t>
      </w:r>
      <w:r w:rsidR="00804BAC">
        <w:t xml:space="preserve"> level as well as </w:t>
      </w:r>
      <w:r w:rsidR="00647498">
        <w:t>at</w:t>
      </w:r>
      <w:r w:rsidR="00804BAC">
        <w:t xml:space="preserve"> each program administrator’s portfolio. The percent contributio</w:t>
      </w:r>
      <w:r w:rsidR="00647498">
        <w:t xml:space="preserve">ns to </w:t>
      </w:r>
      <w:r w:rsidR="00804BAC">
        <w:t xml:space="preserve">portfolio/statewide </w:t>
      </w:r>
      <w:proofErr w:type="gramStart"/>
      <w:r w:rsidR="00804BAC">
        <w:t>uncertainty are</w:t>
      </w:r>
      <w:proofErr w:type="gramEnd"/>
      <w:r w:rsidR="00804BAC">
        <w:t xml:space="preserve"> disaggregated into five parameters: installation rate, unit energy savings, gross realization rate, net-to-gross ratio, and expected useful life.</w:t>
      </w:r>
      <w:r w:rsidR="008819DA">
        <w:t xml:space="preserve"> The measure groups on the list contribute to 43%, 84%, and 51% of the uncertainty in statewide kWh, kW, and </w:t>
      </w:r>
      <w:proofErr w:type="spellStart"/>
      <w:r w:rsidR="008819DA">
        <w:t>therm</w:t>
      </w:r>
      <w:proofErr w:type="spellEnd"/>
      <w:r w:rsidR="008819DA">
        <w:t xml:space="preserve"> savings claimed in 2015.</w:t>
      </w:r>
    </w:p>
    <w:p w:rsidR="00537FDB" w:rsidRPr="00537FDB" w:rsidRDefault="001D40FC" w:rsidP="00537FDB">
      <w:pPr>
        <w:spacing w:after="240"/>
        <w:jc w:val="both"/>
      </w:pPr>
      <w:r>
        <w:t xml:space="preserve">The uncertainty analysis was published to Energy Division’s Public Document Area on </w:t>
      </w:r>
      <w:r w:rsidR="00537FDB">
        <w:t>October</w:t>
      </w:r>
      <w:r>
        <w:t xml:space="preserve"> </w:t>
      </w:r>
      <w:r w:rsidR="00537FDB">
        <w:t>3</w:t>
      </w:r>
      <w:r>
        <w:t xml:space="preserve"> as a </w:t>
      </w:r>
      <w:r w:rsidR="006825DF">
        <w:t>preliminary list of uncertain measures</w:t>
      </w:r>
      <w:r>
        <w:t>, followed by a public review period and a public webinar on October 12</w:t>
      </w:r>
      <w:r w:rsidR="006825DF">
        <w:t>.</w:t>
      </w:r>
      <w:r>
        <w:t xml:space="preserve"> Energy Division staff proceeded to refine the list based on evaluator comments and deeper analysis of the uncertainty calculations</w:t>
      </w:r>
      <w:r w:rsidR="007149EC">
        <w:t>.</w:t>
      </w:r>
      <w:r w:rsidR="00445617">
        <w:t xml:space="preserve"> The language in Decision D.13-09-023 is unclear regarding a threshold for including a measure, but </w:t>
      </w:r>
      <w:r w:rsidR="007624DC">
        <w:t>contributions to portfolio variance show which measure groups are both substantially uncertain and are associated with significant savings.</w:t>
      </w:r>
      <w:r w:rsidR="004C476E">
        <w:t xml:space="preserve"> The uncertain measures list in Appendix A generally includes measure groups which contribute more than 0.1% of any program administrator’s portfolio savings for any resource, i.e., kW, k</w:t>
      </w:r>
      <w:r w:rsidR="007C13B3">
        <w:t xml:space="preserve">Wh, or </w:t>
      </w:r>
      <w:proofErr w:type="spellStart"/>
      <w:r w:rsidR="007C13B3">
        <w:t>t</w:t>
      </w:r>
      <w:r w:rsidR="004C476E">
        <w:t>herms</w:t>
      </w:r>
      <w:proofErr w:type="spellEnd"/>
      <w:r w:rsidR="004C476E">
        <w:t xml:space="preserve">. Additional measure groups are listed where </w:t>
      </w:r>
      <w:r w:rsidR="000135F8">
        <w:t>staff expects</w:t>
      </w:r>
      <w:r w:rsidR="004C476E">
        <w:t xml:space="preserve"> substantial growth in savings claims, </w:t>
      </w:r>
      <w:proofErr w:type="spellStart"/>
      <w:r w:rsidR="00647498">
        <w:t>despit</w:t>
      </w:r>
      <w:proofErr w:type="spellEnd"/>
      <w:r w:rsidR="00647498">
        <w:t xml:space="preserve"> current less </w:t>
      </w:r>
      <w:r w:rsidR="004C476E">
        <w:t>significant uncertainty, as is expected with newer measures such as outdoor LED lighting</w:t>
      </w:r>
      <w:r w:rsidR="00537FDB">
        <w:t>.</w:t>
      </w:r>
      <w:r w:rsidR="00537FDB" w:rsidRPr="00537FDB">
        <w:rPr>
          <w:rFonts w:ascii="Calibri" w:eastAsiaTheme="minorHAnsi" w:hAnsi="Calibri"/>
          <w:color w:val="auto"/>
        </w:rPr>
        <w:t xml:space="preserve"> </w:t>
      </w:r>
      <w:r w:rsidR="00537FDB" w:rsidRPr="00537FDB">
        <w:t>Although measure groups will be applied statewide for the purposes of ex-post savings calculations, we will also provide a more detailed ranked list of measures to inform EM&amp;V studies based on specific parameters identified by program administrator, market sector, and energy resource. Specific plans for studying measure groups on the uncertainty list will be determined through the pub</w:t>
      </w:r>
      <w:r w:rsidR="008819DA">
        <w:t>lic EM&amp;V study vetting process.</w:t>
      </w:r>
    </w:p>
    <w:p w:rsidR="00CF2016" w:rsidRDefault="006B2DE5" w:rsidP="00537FDB">
      <w:pPr>
        <w:spacing w:after="240"/>
        <w:jc w:val="both"/>
      </w:pPr>
      <w:r>
        <w:t>Energy Division published the uncertainty calculations as a draft uncertain measures list on October 3, 2016, and conducted a public webinar to present both the tool and the list for review and comment on October 14. Written comments were made due on October 19, and Staff reviewed both written comments and those expressed during the webinar in preparing the final list.</w:t>
      </w:r>
    </w:p>
    <w:p w:rsidR="007C13B3" w:rsidRDefault="006B2DE5" w:rsidP="00537FDB">
      <w:pPr>
        <w:spacing w:after="240"/>
        <w:jc w:val="both"/>
      </w:pPr>
      <w:r>
        <w:t>During the webinar, it was noted that uncertainties attributed to the net-to-gross ratio largely arise from sampling errors</w:t>
      </w:r>
      <w:r w:rsidR="001268F4">
        <w:t xml:space="preserve"> generated in the evaluation process</w:t>
      </w:r>
      <w:r>
        <w:t xml:space="preserve">, rather than </w:t>
      </w:r>
      <w:r w:rsidR="001268F4">
        <w:t>from the programs and measures themselves. Staff and its advisors agreed that the different nature of the net-to-gross parameter warranted further consideration. In response, staff ran the uncertainty calculation tool on data where the uncertainty from net-to-gross ratio was set to zero. Staff observed that particular values of the total uncertainties and contributions to portfolio uncertainties changed in some cases considerably</w:t>
      </w:r>
      <w:r w:rsidR="00537FDB">
        <w:t xml:space="preserve">; </w:t>
      </w:r>
      <w:proofErr w:type="gramStart"/>
      <w:r w:rsidR="00537FDB">
        <w:t xml:space="preserve">however </w:t>
      </w:r>
      <w:r w:rsidR="001268F4">
        <w:t>,</w:t>
      </w:r>
      <w:proofErr w:type="gramEnd"/>
      <w:r w:rsidR="001268F4">
        <w:t xml:space="preserve"> the order of uncertain measures was generally unaffected. Furthermore, the tool displays the parameterized contributions to variance, so a user can easily see when net-to-gross ratio contributes disproportionately to the measure group uncertainty. Thus, Staff decided to keep net-to-gross ratio in the calculations.</w:t>
      </w:r>
    </w:p>
    <w:p w:rsidR="001268F4" w:rsidRDefault="00715BE8" w:rsidP="00537FDB">
      <w:pPr>
        <w:spacing w:after="240"/>
        <w:jc w:val="both"/>
      </w:pPr>
      <w:r>
        <w:t>Southern California Gas Company (</w:t>
      </w:r>
      <w:proofErr w:type="spellStart"/>
      <w:r>
        <w:t>SoCalGas</w:t>
      </w:r>
      <w:proofErr w:type="spellEnd"/>
      <w:r>
        <w:t xml:space="preserve">) submitted two comments in response to the draft uncertainty list. First, </w:t>
      </w:r>
      <w:proofErr w:type="spellStart"/>
      <w:r>
        <w:t>SoCalGas</w:t>
      </w:r>
      <w:proofErr w:type="spellEnd"/>
      <w:r>
        <w:t xml:space="preserve"> recommends that “the most recent and complete claim data” be used in the uncertainty calculations. The most recent claim data at the time of this letter’s writing would include the first two quarters of 2016 claims, with the most recent estimations of unit energy savings, however the 2016 data has not been fully processed and, e.g., new measures have not been assigned measure groups. </w:t>
      </w:r>
      <w:proofErr w:type="spellStart"/>
      <w:r>
        <w:t>SoCalGas</w:t>
      </w:r>
      <w:proofErr w:type="spellEnd"/>
      <w:r>
        <w:t xml:space="preserve"> continues to propose using the 2015 claim data with updated unit energy savings</w:t>
      </w:r>
      <w:r w:rsidR="00644497">
        <w:t xml:space="preserve"> (UES)</w:t>
      </w:r>
      <w:r>
        <w:t xml:space="preserve">. Staff agrees that this method potentially would yield a more accurate indication of both savings and uncertainties across portfolios, </w:t>
      </w:r>
      <w:r w:rsidR="00644497">
        <w:t xml:space="preserve">the process of incorporating and verifying updated UES values was determined to take more time than was available for the publication of this list, thus the uncertainty calculations were performed using 2015 claim data with its original UES values. Staff asserts that the updates would not yield substantial changes to the final uncertain measures list, but nevertheless will pursue improvements to the Uncertainty Analysis Tool according to </w:t>
      </w:r>
      <w:proofErr w:type="spellStart"/>
      <w:r w:rsidR="00644497">
        <w:t>SoCalGas</w:t>
      </w:r>
      <w:proofErr w:type="spellEnd"/>
      <w:r w:rsidR="00644497">
        <w:t>’ comment for future use.</w:t>
      </w:r>
    </w:p>
    <w:p w:rsidR="00644497" w:rsidRDefault="00644497" w:rsidP="00537FDB">
      <w:pPr>
        <w:spacing w:after="240"/>
        <w:jc w:val="both"/>
      </w:pPr>
      <w:proofErr w:type="spellStart"/>
      <w:r>
        <w:t>SoCalGas</w:t>
      </w:r>
      <w:proofErr w:type="spellEnd"/>
      <w:r>
        <w:t>’ second comment references the definition of “sufficiently uncertain” presented in CPUC Decision D.13-09-023. Staff maintains that this definition is intended to be illustrative rather than serve as a fixed threshold for a measure’s inclusion, as evinced in the Decision’s language: “as much as 50% or more under- or over-estimated.” This definition offer</w:t>
      </w:r>
      <w:r w:rsidR="00E971F9">
        <w:t>s</w:t>
      </w:r>
      <w:r>
        <w:t xml:space="preserve"> </w:t>
      </w:r>
      <w:r w:rsidR="00E971F9">
        <w:t>a guiding example and deference to Staff rather than a fixed threshold for the uncertain measures list.</w:t>
      </w:r>
      <w:r>
        <w:t xml:space="preserve"> </w:t>
      </w:r>
      <w:r w:rsidR="00E971F9">
        <w:t>B</w:t>
      </w:r>
      <w:r>
        <w:t>y comparing individual measure groups to portfolio or state-wide savings and uncertainty</w:t>
      </w:r>
      <w:r w:rsidR="00E971F9">
        <w:t xml:space="preserve"> instead of evaluating each measure uncertainty in isolation</w:t>
      </w:r>
      <w:r>
        <w:t xml:space="preserve">, it is possible to identify highly uncertain measures efficiently while constraining the list to a practical </w:t>
      </w:r>
      <w:r w:rsidR="00E971F9">
        <w:t xml:space="preserve">length </w:t>
      </w:r>
      <w:r>
        <w:t>for the purpose of dri</w:t>
      </w:r>
      <w:r w:rsidR="00E971F9">
        <w:t>ving future evaluation studies.</w:t>
      </w:r>
    </w:p>
    <w:p w:rsidR="000B7506" w:rsidRDefault="007A51F6" w:rsidP="00537FDB">
      <w:pPr>
        <w:spacing w:after="240"/>
        <w:jc w:val="both"/>
      </w:pPr>
      <w:r>
        <w:t xml:space="preserve">The Commission </w:t>
      </w:r>
      <w:r w:rsidR="00E971F9">
        <w:t>appreciate</w:t>
      </w:r>
      <w:r>
        <w:t>s</w:t>
      </w:r>
      <w:r w:rsidR="00E971F9">
        <w:t xml:space="preserve"> </w:t>
      </w:r>
      <w:proofErr w:type="spellStart"/>
      <w:r w:rsidR="00E971F9">
        <w:t>SoCalGas</w:t>
      </w:r>
      <w:proofErr w:type="spellEnd"/>
      <w:r w:rsidR="00E971F9">
        <w:t>’ comments and those provided during the webinar, and trust</w:t>
      </w:r>
      <w:r w:rsidR="00647498">
        <w:t>s</w:t>
      </w:r>
      <w:r w:rsidR="00E971F9">
        <w:t xml:space="preserve"> the final uncertainty list presented in Appendix A has satisfactorily addressed all.</w:t>
      </w:r>
    </w:p>
    <w:p w:rsidR="00E971F9" w:rsidRDefault="00E971F9" w:rsidP="00537FDB">
      <w:pPr>
        <w:spacing w:after="240"/>
        <w:jc w:val="both"/>
      </w:pPr>
      <w:r>
        <w:t xml:space="preserve">Upcoming Decisions in early 2017 regarding baselines for energy use in calculating energy savings are expected to impact the uncertainty calculations, and may necessitate a re-evaluation of uncertain measures. </w:t>
      </w:r>
      <w:r w:rsidR="007C13B3">
        <w:t xml:space="preserve">For this reason, staff may update </w:t>
      </w:r>
      <w:r>
        <w:t xml:space="preserve">this list </w:t>
      </w:r>
      <w:r w:rsidR="007C13B3">
        <w:t>within the first quarter of</w:t>
      </w:r>
      <w:r>
        <w:t xml:space="preserve"> 2017.</w:t>
      </w:r>
    </w:p>
    <w:p w:rsidR="00E971F9" w:rsidRDefault="00E971F9" w:rsidP="00537FDB">
      <w:pPr>
        <w:spacing w:after="240"/>
        <w:jc w:val="both"/>
      </w:pPr>
      <w:r>
        <w:t xml:space="preserve">Please direct any questions regarding the uncertain measures list or the Uncertainty Analysis Tool to Robert Hansen at </w:t>
      </w:r>
      <w:hyperlink r:id="rId11" w:history="1">
        <w:r w:rsidRPr="00285716">
          <w:rPr>
            <w:rStyle w:val="Hyperlink"/>
          </w:rPr>
          <w:t>robert.hansen@cpuc.ca.gov</w:t>
        </w:r>
      </w:hyperlink>
      <w:r>
        <w:t xml:space="preserve"> or 415-703-1794.</w:t>
      </w:r>
    </w:p>
    <w:p w:rsidR="000C289A" w:rsidRDefault="000C289A" w:rsidP="00647498">
      <w:pPr>
        <w:jc w:val="both"/>
      </w:pPr>
    </w:p>
    <w:p w:rsidR="00647498" w:rsidRDefault="00647498" w:rsidP="00647498">
      <w:pPr>
        <w:jc w:val="both"/>
      </w:pPr>
    </w:p>
    <w:p w:rsidR="00377045" w:rsidRPr="001440FF" w:rsidRDefault="00377045" w:rsidP="00647498">
      <w:pPr>
        <w:spacing w:after="180"/>
        <w:jc w:val="both"/>
      </w:pPr>
      <w:r w:rsidRPr="001440FF">
        <w:t>Sincerely,</w:t>
      </w:r>
    </w:p>
    <w:p w:rsidR="00377045" w:rsidRPr="001440FF" w:rsidRDefault="00C37825" w:rsidP="00647498">
      <w:pPr>
        <w:jc w:val="both"/>
      </w:pPr>
      <w:r>
        <w:t>Robert Hansen</w:t>
      </w:r>
    </w:p>
    <w:p w:rsidR="00377045" w:rsidRDefault="00C37825" w:rsidP="00647498">
      <w:pPr>
        <w:jc w:val="both"/>
      </w:pPr>
      <w:r>
        <w:t>Utilities Engineer,</w:t>
      </w:r>
    </w:p>
    <w:p w:rsidR="00647498" w:rsidRDefault="00C37825" w:rsidP="00647498">
      <w:pPr>
        <w:jc w:val="both"/>
      </w:pPr>
      <w:r>
        <w:t>Energy Division</w:t>
      </w:r>
    </w:p>
    <w:p w:rsidR="00377045" w:rsidRPr="001440FF" w:rsidRDefault="00377045" w:rsidP="00647498">
      <w:pPr>
        <w:jc w:val="both"/>
      </w:pPr>
      <w:r w:rsidRPr="001440FF">
        <w:t>California Public Utilities Commission</w:t>
      </w:r>
    </w:p>
    <w:p w:rsidR="00377045" w:rsidRPr="001440FF" w:rsidRDefault="00377045" w:rsidP="00370B89"/>
    <w:p w:rsidR="003C1320" w:rsidRDefault="003C1320" w:rsidP="00370B89"/>
    <w:p w:rsidR="009D2C82" w:rsidRDefault="009D2C82" w:rsidP="00370B89">
      <w:pPr>
        <w:sectPr w:rsidR="009D2C82" w:rsidSect="00537FDB">
          <w:headerReference w:type="default" r:id="rId12"/>
          <w:footerReference w:type="even" r:id="rId13"/>
          <w:footerReference w:type="default" r:id="rId14"/>
          <w:footerReference w:type="first" r:id="rId15"/>
          <w:type w:val="continuous"/>
          <w:pgSz w:w="12240" w:h="15840" w:code="1"/>
          <w:pgMar w:top="810" w:right="1440" w:bottom="1620" w:left="1440" w:header="720" w:footer="1008" w:gutter="0"/>
          <w:cols w:space="720"/>
          <w:titlePg/>
          <w:docGrid w:linePitch="254"/>
        </w:sectPr>
      </w:pPr>
    </w:p>
    <w:tbl>
      <w:tblPr>
        <w:tblW w:w="13770" w:type="dxa"/>
        <w:tblInd w:w="288" w:type="dxa"/>
        <w:tblLook w:val="04A0" w:firstRow="1" w:lastRow="0" w:firstColumn="1" w:lastColumn="0" w:noHBand="0" w:noVBand="1"/>
      </w:tblPr>
      <w:tblGrid>
        <w:gridCol w:w="4245"/>
        <w:gridCol w:w="2160"/>
        <w:gridCol w:w="7365"/>
      </w:tblGrid>
      <w:tr w:rsidR="00755E41" w:rsidRPr="00755E41" w:rsidTr="00647498">
        <w:trPr>
          <w:trHeight w:val="315"/>
          <w:tblHeader/>
        </w:trPr>
        <w:tc>
          <w:tcPr>
            <w:tcW w:w="4245" w:type="dxa"/>
            <w:tcBorders>
              <w:top w:val="nil"/>
              <w:left w:val="nil"/>
              <w:bottom w:val="single" w:sz="8" w:space="0" w:color="auto"/>
              <w:right w:val="nil"/>
            </w:tcBorders>
            <w:shd w:val="clear" w:color="auto" w:fill="auto"/>
            <w:noWrap/>
            <w:vAlign w:val="bottom"/>
            <w:hideMark/>
          </w:tcPr>
          <w:p w:rsidR="00755E41" w:rsidRPr="00755E41" w:rsidRDefault="00755E41" w:rsidP="00755E41">
            <w:pPr>
              <w:rPr>
                <w:rFonts w:ascii="Calibri" w:hAnsi="Calibri"/>
                <w:b/>
                <w:color w:val="auto"/>
              </w:rPr>
            </w:pPr>
            <w:r w:rsidRPr="00755E41">
              <w:rPr>
                <w:rFonts w:ascii="Calibri" w:hAnsi="Calibri"/>
                <w:b/>
                <w:color w:val="auto"/>
              </w:rPr>
              <w:t>Measure Group</w:t>
            </w:r>
          </w:p>
        </w:tc>
        <w:tc>
          <w:tcPr>
            <w:tcW w:w="2160" w:type="dxa"/>
            <w:tcBorders>
              <w:top w:val="nil"/>
              <w:left w:val="nil"/>
              <w:bottom w:val="single" w:sz="8" w:space="0" w:color="auto"/>
              <w:right w:val="nil"/>
            </w:tcBorders>
            <w:shd w:val="clear" w:color="auto" w:fill="auto"/>
            <w:noWrap/>
            <w:vAlign w:val="bottom"/>
            <w:hideMark/>
          </w:tcPr>
          <w:p w:rsidR="00755E41" w:rsidRPr="00755E41" w:rsidRDefault="00647498" w:rsidP="00647498">
            <w:pPr>
              <w:rPr>
                <w:rFonts w:ascii="Calibri" w:hAnsi="Calibri"/>
                <w:b/>
              </w:rPr>
            </w:pPr>
            <w:r>
              <w:rPr>
                <w:rFonts w:ascii="Calibri" w:hAnsi="Calibri"/>
                <w:b/>
              </w:rPr>
              <w:t>Energy Res</w:t>
            </w:r>
            <w:r w:rsidR="00755E41" w:rsidRPr="00755E41">
              <w:rPr>
                <w:rFonts w:ascii="Calibri" w:hAnsi="Calibri"/>
                <w:b/>
              </w:rPr>
              <w:t>ource</w:t>
            </w:r>
          </w:p>
        </w:tc>
        <w:tc>
          <w:tcPr>
            <w:tcW w:w="7365" w:type="dxa"/>
            <w:tcBorders>
              <w:top w:val="nil"/>
              <w:left w:val="nil"/>
              <w:bottom w:val="single" w:sz="8" w:space="0" w:color="auto"/>
              <w:right w:val="nil"/>
            </w:tcBorders>
            <w:shd w:val="clear" w:color="auto" w:fill="auto"/>
            <w:noWrap/>
            <w:vAlign w:val="bottom"/>
            <w:hideMark/>
          </w:tcPr>
          <w:p w:rsidR="00755E41" w:rsidRPr="00755E41" w:rsidRDefault="00755E41" w:rsidP="00647498">
            <w:pPr>
              <w:rPr>
                <w:rFonts w:ascii="Calibri" w:hAnsi="Calibri"/>
                <w:b/>
              </w:rPr>
            </w:pPr>
            <w:r w:rsidRPr="00755E41">
              <w:rPr>
                <w:rFonts w:ascii="Calibri" w:hAnsi="Calibri"/>
                <w:b/>
              </w:rPr>
              <w:t>Parameter</w:t>
            </w:r>
          </w:p>
        </w:tc>
      </w:tr>
      <w:tr w:rsidR="00755E41" w:rsidRPr="00755E41" w:rsidTr="00647498">
        <w:trPr>
          <w:trHeight w:val="300"/>
        </w:trPr>
        <w:tc>
          <w:tcPr>
            <w:tcW w:w="4245" w:type="dxa"/>
            <w:tcBorders>
              <w:top w:val="single" w:sz="8"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AG IRRIGATION</w:t>
            </w:r>
          </w:p>
        </w:tc>
        <w:tc>
          <w:tcPr>
            <w:tcW w:w="2160" w:type="dxa"/>
            <w:tcBorders>
              <w:top w:val="single" w:sz="8"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8"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APPLIANCE CLOTHES WASHER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FOOD SERVICE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BOILER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Unit Energy Savings,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CHILLER WATER COOLED</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COIL CLEANING</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CONTROLS FAN</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Net-to-Gross Ratio, Unit Energy Savings</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CONTROLS THERMOSTAT</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FAN VFD</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FURNACE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MAINTENANCE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MINI-SPLIT SYSTEM</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MOTOR REPLACEMENT</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PUMP VFD</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RCA</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ROOFTOP OR SPLIT SYSTEM</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 Unit Energy Savings</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HVAC VRF/MINI SPLIT</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Net-to-Gross Ratio, Gross Realization Rate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LIGHTING INDOOR LED FIXTURE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LIGHTING INDOOR LED HIGH BAY FIXTURE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LIGHTING INDOOR LED LAMP</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15"/>
        </w:trPr>
        <w:tc>
          <w:tcPr>
            <w:tcW w:w="4245" w:type="dxa"/>
            <w:tcBorders>
              <w:top w:val="single" w:sz="4" w:space="0" w:color="auto"/>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LIGHTING INDOOR LED REFLECTOR LAMP</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LIGHTING OUTDOOR LED FIXTURE</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PIPE INSULATION HOT APPLICATION</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POOL PUMP</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 Net-to-Gross Ratio</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PROCESS BOILER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Gross Realization Rate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REFRIGERATION CASE LED LIGHTING</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REFRIGERATION CASE REPLACEMENT</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REFRIGERATION EVAPORATOR EC MOTORS</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Electric</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Net-to-Gross Ratio, Expected Useful Life, Unit Energy Savings, Installation Rate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TANK INSULATION HOT APPLICATION</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WATER HEATING BOILER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WATER HEATING CONTROLS</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 xml:space="preserve">Electric, </w:t>
            </w: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WATER HEATING SHOWERHEAD</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Net-to-Gross Ratio</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WATER HEATING STORAGE WATER HEATER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r w:rsidR="00755E41" w:rsidRPr="00755E41" w:rsidTr="00647498">
        <w:trPr>
          <w:trHeight w:val="300"/>
        </w:trPr>
        <w:tc>
          <w:tcPr>
            <w:tcW w:w="4245" w:type="dxa"/>
            <w:tcBorders>
              <w:top w:val="single" w:sz="4" w:space="0" w:color="auto"/>
              <w:left w:val="nil"/>
              <w:bottom w:val="single" w:sz="4" w:space="0" w:color="auto"/>
            </w:tcBorders>
            <w:shd w:val="clear" w:color="auto" w:fill="auto"/>
            <w:noWrap/>
            <w:hideMark/>
          </w:tcPr>
          <w:p w:rsidR="00755E41" w:rsidRPr="00755E41" w:rsidRDefault="00755E41" w:rsidP="00755E41">
            <w:pPr>
              <w:rPr>
                <w:rFonts w:ascii="Calibri" w:hAnsi="Calibri"/>
                <w:color w:val="auto"/>
              </w:rPr>
            </w:pPr>
            <w:r w:rsidRPr="00755E41">
              <w:rPr>
                <w:rFonts w:ascii="Calibri" w:hAnsi="Calibri"/>
                <w:color w:val="auto"/>
              </w:rPr>
              <w:t>WATER HEATING TANKLESS WATER HEATER</w:t>
            </w:r>
          </w:p>
        </w:tc>
        <w:tc>
          <w:tcPr>
            <w:tcW w:w="2160"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sidRPr="00755E41">
              <w:rPr>
                <w:rFonts w:ascii="Calibri" w:hAnsi="Calibri"/>
                <w:color w:val="auto"/>
              </w:rPr>
              <w:t>Gas</w:t>
            </w:r>
          </w:p>
        </w:tc>
        <w:tc>
          <w:tcPr>
            <w:tcW w:w="7365" w:type="dxa"/>
            <w:tcBorders>
              <w:top w:val="single" w:sz="4" w:space="0" w:color="auto"/>
              <w:bottom w:val="single" w:sz="4" w:space="0" w:color="auto"/>
            </w:tcBorders>
            <w:shd w:val="clear" w:color="auto" w:fill="auto"/>
            <w:noWrap/>
            <w:hideMark/>
          </w:tcPr>
          <w:p w:rsidR="00755E41" w:rsidRPr="00755E41" w:rsidRDefault="00755E41" w:rsidP="00647498">
            <w:pPr>
              <w:rPr>
                <w:rFonts w:ascii="Calibri" w:hAnsi="Calibri"/>
                <w:color w:val="auto"/>
              </w:rPr>
            </w:pPr>
            <w:r>
              <w:rPr>
                <w:rFonts w:ascii="Calibri" w:hAnsi="Calibri"/>
                <w:color w:val="auto"/>
              </w:rPr>
              <w:t>Installation Rate, Unit Energy Savings, Net-to-Gross Ratio, Expected Useful Life</w:t>
            </w:r>
          </w:p>
        </w:tc>
      </w:tr>
    </w:tbl>
    <w:p w:rsidR="004D0215" w:rsidRDefault="004D0215" w:rsidP="00370B89"/>
    <w:sectPr w:rsidR="004D0215" w:rsidSect="00537FDB">
      <w:headerReference w:type="default" r:id="rId16"/>
      <w:headerReference w:type="first" r:id="rId17"/>
      <w:pgSz w:w="15840" w:h="12240" w:orient="landscape" w:code="1"/>
      <w:pgMar w:top="1440" w:right="1152" w:bottom="1620" w:left="720" w:header="720" w:footer="1008"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8CFBD" w15:done="0"/>
  <w15:commentEx w15:paraId="5582EA7F" w15:done="0"/>
  <w15:commentEx w15:paraId="1275D146" w15:done="0"/>
  <w15:commentEx w15:paraId="4CEA2B51" w15:done="0"/>
  <w15:commentEx w15:paraId="4E8CA7CE" w15:done="0"/>
  <w15:commentEx w15:paraId="050E5A76" w15:done="0"/>
  <w15:commentEx w15:paraId="12B1256E" w15:done="0"/>
  <w15:commentEx w15:paraId="5132EB94" w15:done="0"/>
  <w15:commentEx w15:paraId="30F5A828" w15:done="0"/>
  <w15:commentEx w15:paraId="6F6EA412" w15:done="0"/>
  <w15:commentEx w15:paraId="3C0DBDEC" w15:done="0"/>
  <w15:commentEx w15:paraId="1FE3B6CA" w15:done="0"/>
  <w15:commentEx w15:paraId="6B5F21B6" w15:done="0"/>
  <w15:commentEx w15:paraId="576B7B15" w15:done="0"/>
  <w15:commentEx w15:paraId="76E624DE" w15:done="0"/>
  <w15:commentEx w15:paraId="3702CAFB" w15:done="0"/>
  <w15:commentEx w15:paraId="211ECB82" w15:done="0"/>
  <w15:commentEx w15:paraId="721399E1" w15:done="0"/>
  <w15:commentEx w15:paraId="64D9CDB3" w15:done="0"/>
  <w15:commentEx w15:paraId="50B62C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5A" w:rsidRDefault="007E595A" w:rsidP="00370B89">
      <w:r>
        <w:separator/>
      </w:r>
    </w:p>
  </w:endnote>
  <w:endnote w:type="continuationSeparator" w:id="0">
    <w:p w:rsidR="007E595A" w:rsidRDefault="007E595A" w:rsidP="00370B89">
      <w:r>
        <w:continuationSeparator/>
      </w:r>
    </w:p>
  </w:endnote>
  <w:endnote w:type="continuationNotice" w:id="1">
    <w:p w:rsidR="007E595A" w:rsidRDefault="007E5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9E" w:rsidRDefault="007C0D9E" w:rsidP="00370B8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0D9E" w:rsidRDefault="007C0D9E" w:rsidP="00370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78869"/>
      <w:docPartObj>
        <w:docPartGallery w:val="Page Numbers (Bottom of Page)"/>
        <w:docPartUnique/>
      </w:docPartObj>
    </w:sdtPr>
    <w:sdtEndPr>
      <w:rPr>
        <w:noProof/>
      </w:rPr>
    </w:sdtEndPr>
    <w:sdtContent>
      <w:p w:rsidR="00537FDB" w:rsidRDefault="00537FDB">
        <w:pPr>
          <w:pStyle w:val="Footer"/>
          <w:jc w:val="center"/>
        </w:pPr>
        <w:r>
          <w:fldChar w:fldCharType="begin"/>
        </w:r>
        <w:r>
          <w:instrText xml:space="preserve"> PAGE   \* MERGEFORMAT </w:instrText>
        </w:r>
        <w:r>
          <w:fldChar w:fldCharType="separate"/>
        </w:r>
        <w:r w:rsidR="00341C78">
          <w:rPr>
            <w:noProof/>
          </w:rPr>
          <w:t>2</w:t>
        </w:r>
        <w:r>
          <w:rPr>
            <w:noProof/>
          </w:rPr>
          <w:fldChar w:fldCharType="end"/>
        </w:r>
      </w:p>
    </w:sdtContent>
  </w:sdt>
  <w:p w:rsidR="007C0D9E" w:rsidRPr="009D2C82" w:rsidRDefault="007C0D9E" w:rsidP="00755E41">
    <w:pPr>
      <w:pStyle w:val="Footer"/>
      <w:tabs>
        <w:tab w:val="clear" w:pos="4320"/>
        <w:tab w:val="clear" w:pos="8640"/>
        <w:tab w:val="center" w:pos="4680"/>
        <w:tab w:val="right" w:pos="133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999540"/>
      <w:docPartObj>
        <w:docPartGallery w:val="Page Numbers (Bottom of Page)"/>
        <w:docPartUnique/>
      </w:docPartObj>
    </w:sdtPr>
    <w:sdtEndPr>
      <w:rPr>
        <w:noProof/>
      </w:rPr>
    </w:sdtEndPr>
    <w:sdtContent>
      <w:p w:rsidR="00537FDB" w:rsidRDefault="00537FDB">
        <w:pPr>
          <w:pStyle w:val="Footer"/>
          <w:jc w:val="center"/>
        </w:pPr>
        <w:r>
          <w:fldChar w:fldCharType="begin"/>
        </w:r>
        <w:r>
          <w:instrText xml:space="preserve"> PAGE   \* MERGEFORMAT </w:instrText>
        </w:r>
        <w:r>
          <w:fldChar w:fldCharType="separate"/>
        </w:r>
        <w:r w:rsidR="00341C78">
          <w:rPr>
            <w:noProof/>
          </w:rPr>
          <w:t>1</w:t>
        </w:r>
        <w:r>
          <w:rPr>
            <w:noProof/>
          </w:rPr>
          <w:fldChar w:fldCharType="end"/>
        </w:r>
      </w:p>
    </w:sdtContent>
  </w:sdt>
  <w:p w:rsidR="00537FDB" w:rsidRDefault="00537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5A" w:rsidRDefault="007E595A" w:rsidP="00370B89">
      <w:r>
        <w:separator/>
      </w:r>
    </w:p>
  </w:footnote>
  <w:footnote w:type="continuationSeparator" w:id="0">
    <w:p w:rsidR="007E595A" w:rsidRDefault="007E595A" w:rsidP="00370B89">
      <w:r>
        <w:continuationSeparator/>
      </w:r>
    </w:p>
  </w:footnote>
  <w:footnote w:type="continuationNotice" w:id="1">
    <w:p w:rsidR="007E595A" w:rsidRDefault="007E5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9E" w:rsidRDefault="007C0D9E">
    <w:pPr>
      <w:pStyle w:val="Header"/>
    </w:pPr>
  </w:p>
  <w:p w:rsidR="007C0D9E" w:rsidRDefault="007C0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41" w:rsidRDefault="00755E41">
    <w:pPr>
      <w:pStyle w:val="Header"/>
    </w:pPr>
    <w:r>
      <w:t>Attachment A: 2017 Uncertain Measures List</w:t>
    </w:r>
    <w:r w:rsidR="00647498">
      <w:t xml:space="preserve">                      </w:t>
    </w:r>
  </w:p>
  <w:p w:rsidR="00755E41" w:rsidRDefault="00755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9E" w:rsidRDefault="007C0D9E" w:rsidP="00735253">
    <w:r w:rsidRPr="000C289A">
      <w:rPr>
        <w:b/>
      </w:rPr>
      <w:t>Appendix A: 2017 Uncertain Measures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DC7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16916F4B"/>
    <w:multiLevelType w:val="hybridMultilevel"/>
    <w:tmpl w:val="5380A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0C24"/>
    <w:multiLevelType w:val="multilevel"/>
    <w:tmpl w:val="D64CC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A76FA7"/>
    <w:multiLevelType w:val="multilevel"/>
    <w:tmpl w:val="65CEE9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E2802"/>
    <w:multiLevelType w:val="multilevel"/>
    <w:tmpl w:val="3AAAE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3DC3C43"/>
    <w:multiLevelType w:val="multilevel"/>
    <w:tmpl w:val="0B0A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8418F9"/>
    <w:multiLevelType w:val="hybridMultilevel"/>
    <w:tmpl w:val="6CE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E4564"/>
    <w:multiLevelType w:val="multilevel"/>
    <w:tmpl w:val="C61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B7599"/>
    <w:multiLevelType w:val="hybridMultilevel"/>
    <w:tmpl w:val="5C6ACCD6"/>
    <w:lvl w:ilvl="0" w:tplc="B9B865D6">
      <w:start w:val="2"/>
      <w:numFmt w:val="upperRoman"/>
      <w:lvlText w:val="%1."/>
      <w:lvlJc w:val="right"/>
      <w:pPr>
        <w:tabs>
          <w:tab w:val="num" w:pos="720"/>
        </w:tabs>
        <w:ind w:left="720" w:hanging="360"/>
      </w:pPr>
    </w:lvl>
    <w:lvl w:ilvl="1" w:tplc="5986BEA2" w:tentative="1">
      <w:start w:val="1"/>
      <w:numFmt w:val="decimal"/>
      <w:lvlText w:val="%2."/>
      <w:lvlJc w:val="left"/>
      <w:pPr>
        <w:tabs>
          <w:tab w:val="num" w:pos="1440"/>
        </w:tabs>
        <w:ind w:left="1440" w:hanging="360"/>
      </w:pPr>
    </w:lvl>
    <w:lvl w:ilvl="2" w:tplc="FDD228A4" w:tentative="1">
      <w:start w:val="1"/>
      <w:numFmt w:val="decimal"/>
      <w:lvlText w:val="%3."/>
      <w:lvlJc w:val="left"/>
      <w:pPr>
        <w:tabs>
          <w:tab w:val="num" w:pos="2160"/>
        </w:tabs>
        <w:ind w:left="2160" w:hanging="360"/>
      </w:pPr>
    </w:lvl>
    <w:lvl w:ilvl="3" w:tplc="643E33CC" w:tentative="1">
      <w:start w:val="1"/>
      <w:numFmt w:val="decimal"/>
      <w:lvlText w:val="%4."/>
      <w:lvlJc w:val="left"/>
      <w:pPr>
        <w:tabs>
          <w:tab w:val="num" w:pos="2880"/>
        </w:tabs>
        <w:ind w:left="2880" w:hanging="360"/>
      </w:pPr>
    </w:lvl>
    <w:lvl w:ilvl="4" w:tplc="89481A26" w:tentative="1">
      <w:start w:val="1"/>
      <w:numFmt w:val="decimal"/>
      <w:lvlText w:val="%5."/>
      <w:lvlJc w:val="left"/>
      <w:pPr>
        <w:tabs>
          <w:tab w:val="num" w:pos="3600"/>
        </w:tabs>
        <w:ind w:left="3600" w:hanging="360"/>
      </w:pPr>
    </w:lvl>
    <w:lvl w:ilvl="5" w:tplc="770ED088" w:tentative="1">
      <w:start w:val="1"/>
      <w:numFmt w:val="decimal"/>
      <w:lvlText w:val="%6."/>
      <w:lvlJc w:val="left"/>
      <w:pPr>
        <w:tabs>
          <w:tab w:val="num" w:pos="4320"/>
        </w:tabs>
        <w:ind w:left="4320" w:hanging="360"/>
      </w:pPr>
    </w:lvl>
    <w:lvl w:ilvl="6" w:tplc="7B447512" w:tentative="1">
      <w:start w:val="1"/>
      <w:numFmt w:val="decimal"/>
      <w:lvlText w:val="%7."/>
      <w:lvlJc w:val="left"/>
      <w:pPr>
        <w:tabs>
          <w:tab w:val="num" w:pos="5040"/>
        </w:tabs>
        <w:ind w:left="5040" w:hanging="360"/>
      </w:pPr>
    </w:lvl>
    <w:lvl w:ilvl="7" w:tplc="95AC6744" w:tentative="1">
      <w:start w:val="1"/>
      <w:numFmt w:val="decimal"/>
      <w:lvlText w:val="%8."/>
      <w:lvlJc w:val="left"/>
      <w:pPr>
        <w:tabs>
          <w:tab w:val="num" w:pos="5760"/>
        </w:tabs>
        <w:ind w:left="5760" w:hanging="360"/>
      </w:pPr>
    </w:lvl>
    <w:lvl w:ilvl="8" w:tplc="F7D43DF2" w:tentative="1">
      <w:start w:val="1"/>
      <w:numFmt w:val="decimal"/>
      <w:lvlText w:val="%9."/>
      <w:lvlJc w:val="left"/>
      <w:pPr>
        <w:tabs>
          <w:tab w:val="num" w:pos="6480"/>
        </w:tabs>
        <w:ind w:left="6480" w:hanging="360"/>
      </w:pPr>
    </w:lvl>
  </w:abstractNum>
  <w:abstractNum w:abstractNumId="11">
    <w:nsid w:val="515A3155"/>
    <w:multiLevelType w:val="hybridMultilevel"/>
    <w:tmpl w:val="779AE0F8"/>
    <w:lvl w:ilvl="0" w:tplc="B29A6CE2">
      <w:start w:val="1"/>
      <w:numFmt w:val="decimal"/>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302A1C"/>
    <w:multiLevelType w:val="multilevel"/>
    <w:tmpl w:val="5BCAE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BC614D"/>
    <w:multiLevelType w:val="hybridMultilevel"/>
    <w:tmpl w:val="E1E8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57EB13FE"/>
    <w:multiLevelType w:val="multilevel"/>
    <w:tmpl w:val="42203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405D10"/>
    <w:multiLevelType w:val="hybridMultilevel"/>
    <w:tmpl w:val="E7A8C1DE"/>
    <w:lvl w:ilvl="0" w:tplc="DEECC1F2">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22861"/>
    <w:multiLevelType w:val="multilevel"/>
    <w:tmpl w:val="AE56C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D2953E6"/>
    <w:multiLevelType w:val="multilevel"/>
    <w:tmpl w:val="CDEE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abstractNumId w:val="6"/>
  </w:num>
  <w:num w:numId="2">
    <w:abstractNumId w:val="21"/>
  </w:num>
  <w:num w:numId="3">
    <w:abstractNumId w:val="21"/>
    <w:lvlOverride w:ilvl="0">
      <w:startOverride w:val="4"/>
    </w:lvlOverride>
  </w:num>
  <w:num w:numId="4">
    <w:abstractNumId w:val="19"/>
  </w:num>
  <w:num w:numId="5">
    <w:abstractNumId w:val="1"/>
  </w:num>
  <w:num w:numId="6">
    <w:abstractNumId w:val="20"/>
  </w:num>
  <w:num w:numId="7">
    <w:abstractNumId w:val="22"/>
  </w:num>
  <w:num w:numId="8">
    <w:abstractNumId w:val="16"/>
  </w:num>
  <w:num w:numId="9">
    <w:abstractNumId w:val="24"/>
  </w:num>
  <w:num w:numId="10">
    <w:abstractNumId w:val="14"/>
  </w:num>
  <w:num w:numId="11">
    <w:abstractNumId w:val="7"/>
    <w:lvlOverride w:ilvl="0">
      <w:lvl w:ilvl="0">
        <w:numFmt w:val="upperRoman"/>
        <w:lvlText w:val="%1."/>
        <w:lvlJc w:val="right"/>
      </w:lvl>
    </w:lvlOverride>
  </w:num>
  <w:num w:numId="12">
    <w:abstractNumId w:val="10"/>
  </w:num>
  <w:num w:numId="13">
    <w:abstractNumId w:val="23"/>
  </w:num>
  <w:num w:numId="14">
    <w:abstractNumId w:val="9"/>
  </w:num>
  <w:num w:numId="15">
    <w:abstractNumId w:val="18"/>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8"/>
  </w:num>
  <w:num w:numId="22">
    <w:abstractNumId w:val="0"/>
  </w:num>
  <w:num w:numId="23">
    <w:abstractNumId w:val="13"/>
  </w:num>
  <w:num w:numId="24">
    <w:abstractNumId w:val="17"/>
  </w:num>
  <w:num w:numId="25">
    <w:abstractNumId w:val="11"/>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07"/>
    <w:rsid w:val="000041D6"/>
    <w:rsid w:val="00012AD6"/>
    <w:rsid w:val="000135F8"/>
    <w:rsid w:val="0002170F"/>
    <w:rsid w:val="00021EDF"/>
    <w:rsid w:val="000227C0"/>
    <w:rsid w:val="0002495A"/>
    <w:rsid w:val="000315B0"/>
    <w:rsid w:val="00036AA3"/>
    <w:rsid w:val="000459F3"/>
    <w:rsid w:val="0006135E"/>
    <w:rsid w:val="000621FC"/>
    <w:rsid w:val="00071F05"/>
    <w:rsid w:val="000737D1"/>
    <w:rsid w:val="00092D45"/>
    <w:rsid w:val="000940BA"/>
    <w:rsid w:val="000A2A65"/>
    <w:rsid w:val="000B48DB"/>
    <w:rsid w:val="000B7506"/>
    <w:rsid w:val="000C289A"/>
    <w:rsid w:val="000D415A"/>
    <w:rsid w:val="000D7FD5"/>
    <w:rsid w:val="000F530A"/>
    <w:rsid w:val="001006C3"/>
    <w:rsid w:val="00110456"/>
    <w:rsid w:val="00112225"/>
    <w:rsid w:val="0011247A"/>
    <w:rsid w:val="001132A4"/>
    <w:rsid w:val="00114934"/>
    <w:rsid w:val="001268F4"/>
    <w:rsid w:val="00136EAE"/>
    <w:rsid w:val="001440FF"/>
    <w:rsid w:val="00155856"/>
    <w:rsid w:val="00155D27"/>
    <w:rsid w:val="001629ED"/>
    <w:rsid w:val="00170457"/>
    <w:rsid w:val="00173984"/>
    <w:rsid w:val="00175D66"/>
    <w:rsid w:val="0019280A"/>
    <w:rsid w:val="001A63B6"/>
    <w:rsid w:val="001B5075"/>
    <w:rsid w:val="001B55C2"/>
    <w:rsid w:val="001B5AB7"/>
    <w:rsid w:val="001D302C"/>
    <w:rsid w:val="001D40FC"/>
    <w:rsid w:val="001D7460"/>
    <w:rsid w:val="001F5B04"/>
    <w:rsid w:val="00227B62"/>
    <w:rsid w:val="00231BB8"/>
    <w:rsid w:val="00232E0C"/>
    <w:rsid w:val="002432E1"/>
    <w:rsid w:val="002466F1"/>
    <w:rsid w:val="0026365F"/>
    <w:rsid w:val="00266F76"/>
    <w:rsid w:val="00282581"/>
    <w:rsid w:val="00291D1E"/>
    <w:rsid w:val="002A0028"/>
    <w:rsid w:val="002A75E8"/>
    <w:rsid w:val="002B44DB"/>
    <w:rsid w:val="002B56F3"/>
    <w:rsid w:val="002D224F"/>
    <w:rsid w:val="002E4036"/>
    <w:rsid w:val="002F0B64"/>
    <w:rsid w:val="0030434C"/>
    <w:rsid w:val="003066E0"/>
    <w:rsid w:val="00311643"/>
    <w:rsid w:val="003131EC"/>
    <w:rsid w:val="00322255"/>
    <w:rsid w:val="003342D9"/>
    <w:rsid w:val="00341C78"/>
    <w:rsid w:val="00346041"/>
    <w:rsid w:val="00362AF6"/>
    <w:rsid w:val="00363D60"/>
    <w:rsid w:val="003679DD"/>
    <w:rsid w:val="00370B89"/>
    <w:rsid w:val="00373A4F"/>
    <w:rsid w:val="00377045"/>
    <w:rsid w:val="0038022E"/>
    <w:rsid w:val="00380F27"/>
    <w:rsid w:val="003835C2"/>
    <w:rsid w:val="003A7FBA"/>
    <w:rsid w:val="003B1D5F"/>
    <w:rsid w:val="003B4B5D"/>
    <w:rsid w:val="003C1320"/>
    <w:rsid w:val="003C2917"/>
    <w:rsid w:val="003C3888"/>
    <w:rsid w:val="003C7BCF"/>
    <w:rsid w:val="003E2E42"/>
    <w:rsid w:val="003E6231"/>
    <w:rsid w:val="003E68C8"/>
    <w:rsid w:val="00400560"/>
    <w:rsid w:val="00403CFE"/>
    <w:rsid w:val="00404FBC"/>
    <w:rsid w:val="00411BAB"/>
    <w:rsid w:val="00434E0D"/>
    <w:rsid w:val="004351FE"/>
    <w:rsid w:val="004371AE"/>
    <w:rsid w:val="00440EC2"/>
    <w:rsid w:val="00441BF6"/>
    <w:rsid w:val="00444A0D"/>
    <w:rsid w:val="00445617"/>
    <w:rsid w:val="004506B3"/>
    <w:rsid w:val="004603BA"/>
    <w:rsid w:val="00466769"/>
    <w:rsid w:val="0048207F"/>
    <w:rsid w:val="004913F1"/>
    <w:rsid w:val="0049628A"/>
    <w:rsid w:val="004B3658"/>
    <w:rsid w:val="004B50C9"/>
    <w:rsid w:val="004C476E"/>
    <w:rsid w:val="004C572F"/>
    <w:rsid w:val="004D0215"/>
    <w:rsid w:val="004D2F11"/>
    <w:rsid w:val="004D4874"/>
    <w:rsid w:val="004D4F2B"/>
    <w:rsid w:val="004D731F"/>
    <w:rsid w:val="004E4161"/>
    <w:rsid w:val="004F2C49"/>
    <w:rsid w:val="00521D57"/>
    <w:rsid w:val="00525807"/>
    <w:rsid w:val="005274A0"/>
    <w:rsid w:val="00532439"/>
    <w:rsid w:val="005331CF"/>
    <w:rsid w:val="00537FDB"/>
    <w:rsid w:val="00540659"/>
    <w:rsid w:val="00544416"/>
    <w:rsid w:val="00550710"/>
    <w:rsid w:val="00550C70"/>
    <w:rsid w:val="00554957"/>
    <w:rsid w:val="00570F99"/>
    <w:rsid w:val="005741EB"/>
    <w:rsid w:val="005743ED"/>
    <w:rsid w:val="005812E4"/>
    <w:rsid w:val="00582781"/>
    <w:rsid w:val="00582D14"/>
    <w:rsid w:val="00583BFF"/>
    <w:rsid w:val="00593436"/>
    <w:rsid w:val="00594038"/>
    <w:rsid w:val="00594FC6"/>
    <w:rsid w:val="005A455D"/>
    <w:rsid w:val="005D4BA8"/>
    <w:rsid w:val="005E173E"/>
    <w:rsid w:val="005E38C6"/>
    <w:rsid w:val="005F42E0"/>
    <w:rsid w:val="00603DD2"/>
    <w:rsid w:val="0061673D"/>
    <w:rsid w:val="00624934"/>
    <w:rsid w:val="00627BE1"/>
    <w:rsid w:val="00631FA2"/>
    <w:rsid w:val="00636296"/>
    <w:rsid w:val="00640BF5"/>
    <w:rsid w:val="00644497"/>
    <w:rsid w:val="00647498"/>
    <w:rsid w:val="00663138"/>
    <w:rsid w:val="00666124"/>
    <w:rsid w:val="00666FD0"/>
    <w:rsid w:val="00674A56"/>
    <w:rsid w:val="00680912"/>
    <w:rsid w:val="00680DB7"/>
    <w:rsid w:val="006825DF"/>
    <w:rsid w:val="006A12B6"/>
    <w:rsid w:val="006A4E7D"/>
    <w:rsid w:val="006A6D54"/>
    <w:rsid w:val="006B1DB7"/>
    <w:rsid w:val="006B2DE5"/>
    <w:rsid w:val="006B558E"/>
    <w:rsid w:val="006B6718"/>
    <w:rsid w:val="006C51BA"/>
    <w:rsid w:val="006C791C"/>
    <w:rsid w:val="006D1014"/>
    <w:rsid w:val="006F265E"/>
    <w:rsid w:val="006F5969"/>
    <w:rsid w:val="007149EC"/>
    <w:rsid w:val="00715BE8"/>
    <w:rsid w:val="007251FB"/>
    <w:rsid w:val="00735253"/>
    <w:rsid w:val="00737420"/>
    <w:rsid w:val="00751D1B"/>
    <w:rsid w:val="00755E41"/>
    <w:rsid w:val="00762206"/>
    <w:rsid w:val="007624DC"/>
    <w:rsid w:val="007A51F6"/>
    <w:rsid w:val="007B4FCA"/>
    <w:rsid w:val="007B6759"/>
    <w:rsid w:val="007C0D9E"/>
    <w:rsid w:val="007C13B3"/>
    <w:rsid w:val="007D5E88"/>
    <w:rsid w:val="007D65B5"/>
    <w:rsid w:val="007E0B58"/>
    <w:rsid w:val="007E595A"/>
    <w:rsid w:val="00803BF8"/>
    <w:rsid w:val="00803D3C"/>
    <w:rsid w:val="00804BAC"/>
    <w:rsid w:val="0082366E"/>
    <w:rsid w:val="00834BD2"/>
    <w:rsid w:val="00846B96"/>
    <w:rsid w:val="00852574"/>
    <w:rsid w:val="0085685B"/>
    <w:rsid w:val="008819DA"/>
    <w:rsid w:val="00890F57"/>
    <w:rsid w:val="008910D4"/>
    <w:rsid w:val="008942B8"/>
    <w:rsid w:val="008B7141"/>
    <w:rsid w:val="008D5A85"/>
    <w:rsid w:val="008D71E7"/>
    <w:rsid w:val="008E165F"/>
    <w:rsid w:val="008F1DBF"/>
    <w:rsid w:val="008F3E88"/>
    <w:rsid w:val="00916B66"/>
    <w:rsid w:val="009326BB"/>
    <w:rsid w:val="0093471C"/>
    <w:rsid w:val="00936649"/>
    <w:rsid w:val="00941D3D"/>
    <w:rsid w:val="00951673"/>
    <w:rsid w:val="0095195E"/>
    <w:rsid w:val="00953312"/>
    <w:rsid w:val="00957B30"/>
    <w:rsid w:val="00973BE7"/>
    <w:rsid w:val="00981095"/>
    <w:rsid w:val="00981F72"/>
    <w:rsid w:val="00982233"/>
    <w:rsid w:val="00982EDE"/>
    <w:rsid w:val="00986293"/>
    <w:rsid w:val="00994D46"/>
    <w:rsid w:val="00995392"/>
    <w:rsid w:val="009A2AFF"/>
    <w:rsid w:val="009A541D"/>
    <w:rsid w:val="009B4094"/>
    <w:rsid w:val="009B51BC"/>
    <w:rsid w:val="009C326D"/>
    <w:rsid w:val="009C5E2E"/>
    <w:rsid w:val="009D2C82"/>
    <w:rsid w:val="009E0C34"/>
    <w:rsid w:val="009E4140"/>
    <w:rsid w:val="009F4306"/>
    <w:rsid w:val="00A10712"/>
    <w:rsid w:val="00A13E7F"/>
    <w:rsid w:val="00A325D7"/>
    <w:rsid w:val="00A520DE"/>
    <w:rsid w:val="00A620D6"/>
    <w:rsid w:val="00A80A3B"/>
    <w:rsid w:val="00A814A6"/>
    <w:rsid w:val="00A9011C"/>
    <w:rsid w:val="00A96B9A"/>
    <w:rsid w:val="00AA5DD8"/>
    <w:rsid w:val="00AA7C0D"/>
    <w:rsid w:val="00AD23CF"/>
    <w:rsid w:val="00AE2250"/>
    <w:rsid w:val="00AE2522"/>
    <w:rsid w:val="00B06C4B"/>
    <w:rsid w:val="00B07E94"/>
    <w:rsid w:val="00B173A3"/>
    <w:rsid w:val="00B31935"/>
    <w:rsid w:val="00B31BB2"/>
    <w:rsid w:val="00B461B1"/>
    <w:rsid w:val="00B46425"/>
    <w:rsid w:val="00B47841"/>
    <w:rsid w:val="00B50EFB"/>
    <w:rsid w:val="00B51E85"/>
    <w:rsid w:val="00B542CE"/>
    <w:rsid w:val="00B56388"/>
    <w:rsid w:val="00B61CFD"/>
    <w:rsid w:val="00B62577"/>
    <w:rsid w:val="00B90E0D"/>
    <w:rsid w:val="00BA0350"/>
    <w:rsid w:val="00BB48C6"/>
    <w:rsid w:val="00BD2E64"/>
    <w:rsid w:val="00BE0090"/>
    <w:rsid w:val="00C04551"/>
    <w:rsid w:val="00C05465"/>
    <w:rsid w:val="00C24BA8"/>
    <w:rsid w:val="00C25682"/>
    <w:rsid w:val="00C324E6"/>
    <w:rsid w:val="00C37825"/>
    <w:rsid w:val="00C61C1F"/>
    <w:rsid w:val="00C64B6D"/>
    <w:rsid w:val="00C74A70"/>
    <w:rsid w:val="00C80078"/>
    <w:rsid w:val="00C806D4"/>
    <w:rsid w:val="00C84CA0"/>
    <w:rsid w:val="00C9152A"/>
    <w:rsid w:val="00CA2597"/>
    <w:rsid w:val="00CA3FFE"/>
    <w:rsid w:val="00CA6B1F"/>
    <w:rsid w:val="00CB1D91"/>
    <w:rsid w:val="00CB1E3E"/>
    <w:rsid w:val="00CC72DB"/>
    <w:rsid w:val="00CE1451"/>
    <w:rsid w:val="00CF2016"/>
    <w:rsid w:val="00CF3497"/>
    <w:rsid w:val="00CF485E"/>
    <w:rsid w:val="00D01816"/>
    <w:rsid w:val="00D019E0"/>
    <w:rsid w:val="00D0523C"/>
    <w:rsid w:val="00D07FBC"/>
    <w:rsid w:val="00D16B64"/>
    <w:rsid w:val="00D1713C"/>
    <w:rsid w:val="00D404CF"/>
    <w:rsid w:val="00D44155"/>
    <w:rsid w:val="00D54DBE"/>
    <w:rsid w:val="00D567E2"/>
    <w:rsid w:val="00D61186"/>
    <w:rsid w:val="00D62846"/>
    <w:rsid w:val="00D829B8"/>
    <w:rsid w:val="00DC0F4F"/>
    <w:rsid w:val="00DC21D0"/>
    <w:rsid w:val="00DC39FA"/>
    <w:rsid w:val="00DE001D"/>
    <w:rsid w:val="00DE7A77"/>
    <w:rsid w:val="00E17A12"/>
    <w:rsid w:val="00E3142C"/>
    <w:rsid w:val="00E333AF"/>
    <w:rsid w:val="00E46E49"/>
    <w:rsid w:val="00E50DB1"/>
    <w:rsid w:val="00E53005"/>
    <w:rsid w:val="00E63448"/>
    <w:rsid w:val="00E64672"/>
    <w:rsid w:val="00E70C13"/>
    <w:rsid w:val="00E764CE"/>
    <w:rsid w:val="00E83355"/>
    <w:rsid w:val="00E84AB2"/>
    <w:rsid w:val="00E971F9"/>
    <w:rsid w:val="00EA5A68"/>
    <w:rsid w:val="00EE0A51"/>
    <w:rsid w:val="00EE2151"/>
    <w:rsid w:val="00F02092"/>
    <w:rsid w:val="00F20939"/>
    <w:rsid w:val="00F2119F"/>
    <w:rsid w:val="00F24EE0"/>
    <w:rsid w:val="00F30AFB"/>
    <w:rsid w:val="00F32A6F"/>
    <w:rsid w:val="00F34E1E"/>
    <w:rsid w:val="00F53A91"/>
    <w:rsid w:val="00F70424"/>
    <w:rsid w:val="00F92EC2"/>
    <w:rsid w:val="00F93232"/>
    <w:rsid w:val="00F96875"/>
    <w:rsid w:val="00FB0F6F"/>
    <w:rsid w:val="00FB6F8C"/>
    <w:rsid w:val="00FD06DB"/>
    <w:rsid w:val="00FE0041"/>
    <w:rsid w:val="00FE7481"/>
    <w:rsid w:val="00FF75F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EC"/>
    <w:rPr>
      <w:rFonts w:ascii="Cambria" w:hAnsi="Cambria"/>
      <w:color w:val="000000"/>
      <w:sz w:val="22"/>
      <w:szCs w:val="22"/>
    </w:rPr>
  </w:style>
  <w:style w:type="paragraph" w:styleId="Heading1">
    <w:name w:val="heading 1"/>
    <w:basedOn w:val="Normal"/>
    <w:next w:val="Normal"/>
    <w:qFormat/>
    <w:rsid w:val="00370B89"/>
    <w:pPr>
      <w:keepNext/>
      <w:numPr>
        <w:numId w:val="24"/>
      </w:numPr>
      <w:outlineLvl w:val="0"/>
    </w:pPr>
    <w:rPr>
      <w:b/>
      <w:bCs/>
    </w:rPr>
  </w:style>
  <w:style w:type="paragraph" w:styleId="Heading2">
    <w:name w:val="heading 2"/>
    <w:basedOn w:val="Normal"/>
    <w:next w:val="Normal"/>
    <w:qFormat/>
    <w:rsid w:val="00916B66"/>
    <w:pPr>
      <w:keepNext/>
      <w:numPr>
        <w:numId w:val="25"/>
      </w:numPr>
      <w:ind w:left="720"/>
      <w:outlineLvl w:val="1"/>
    </w:pPr>
    <w:rPr>
      <w:b/>
      <w:bCs/>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70C13"/>
    <w:rPr>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sid w:val="00377045"/>
  </w:style>
  <w:style w:type="character" w:styleId="FootnoteReference">
    <w:name w:val="footnote reference"/>
    <w:uiPriority w:val="99"/>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rsid w:val="00377045"/>
    <w:pPr>
      <w:ind w:left="720"/>
      <w:contextualSpacing/>
    </w:pPr>
    <w:rPr>
      <w:rFonts w:eastAsia="MS Mincho"/>
    </w:rPr>
  </w:style>
  <w:style w:type="character" w:styleId="CommentReference">
    <w:name w:val="annotation reference"/>
    <w:rsid w:val="00994D46"/>
    <w:rPr>
      <w:sz w:val="16"/>
      <w:szCs w:val="16"/>
    </w:rPr>
  </w:style>
  <w:style w:type="paragraph" w:styleId="CommentText">
    <w:name w:val="annotation text"/>
    <w:basedOn w:val="Normal"/>
    <w:link w:val="CommentTextChar"/>
    <w:rsid w:val="00994D46"/>
    <w:rPr>
      <w:sz w:val="20"/>
      <w:szCs w:val="20"/>
    </w:rPr>
  </w:style>
  <w:style w:type="character" w:customStyle="1" w:styleId="CommentTextChar">
    <w:name w:val="Comment Text Char"/>
    <w:basedOn w:val="DefaultParagraphFont"/>
    <w:link w:val="CommentText"/>
    <w:rsid w:val="00994D46"/>
  </w:style>
  <w:style w:type="paragraph" w:styleId="CommentSubject">
    <w:name w:val="annotation subject"/>
    <w:basedOn w:val="CommentText"/>
    <w:next w:val="CommentText"/>
    <w:link w:val="CommentSubjectChar"/>
    <w:rsid w:val="00994D46"/>
    <w:rPr>
      <w:b/>
      <w:bCs/>
    </w:rPr>
  </w:style>
  <w:style w:type="character" w:customStyle="1" w:styleId="CommentSubjectChar">
    <w:name w:val="Comment Subject Char"/>
    <w:link w:val="CommentSubject"/>
    <w:rsid w:val="00994D46"/>
    <w:rPr>
      <w:b/>
      <w:bCs/>
    </w:rPr>
  </w:style>
  <w:style w:type="paragraph" w:styleId="Revision">
    <w:name w:val="Revision"/>
    <w:hidden/>
    <w:uiPriority w:val="99"/>
    <w:semiHidden/>
    <w:rsid w:val="006A12B6"/>
    <w:rPr>
      <w:sz w:val="24"/>
      <w:szCs w:val="24"/>
    </w:rPr>
  </w:style>
  <w:style w:type="character" w:styleId="PlaceholderText">
    <w:name w:val="Placeholder Text"/>
    <w:basedOn w:val="DefaultParagraphFont"/>
    <w:uiPriority w:val="99"/>
    <w:semiHidden/>
    <w:rsid w:val="003E2E42"/>
    <w:rPr>
      <w:color w:val="808080"/>
    </w:rPr>
  </w:style>
  <w:style w:type="table" w:styleId="TableGrid">
    <w:name w:val="Table Grid"/>
    <w:basedOn w:val="TableNormal"/>
    <w:rsid w:val="0068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8F4"/>
    <w:pPr>
      <w:ind w:left="720"/>
      <w:contextualSpacing/>
    </w:pPr>
  </w:style>
  <w:style w:type="character" w:customStyle="1" w:styleId="HeaderChar">
    <w:name w:val="Header Char"/>
    <w:basedOn w:val="DefaultParagraphFont"/>
    <w:link w:val="Header"/>
    <w:uiPriority w:val="99"/>
    <w:rsid w:val="00537FDB"/>
    <w:rPr>
      <w:rFonts w:ascii="Cambria" w:hAnsi="Cambr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EC"/>
    <w:rPr>
      <w:rFonts w:ascii="Cambria" w:hAnsi="Cambria"/>
      <w:color w:val="000000"/>
      <w:sz w:val="22"/>
      <w:szCs w:val="22"/>
    </w:rPr>
  </w:style>
  <w:style w:type="paragraph" w:styleId="Heading1">
    <w:name w:val="heading 1"/>
    <w:basedOn w:val="Normal"/>
    <w:next w:val="Normal"/>
    <w:qFormat/>
    <w:rsid w:val="00370B89"/>
    <w:pPr>
      <w:keepNext/>
      <w:numPr>
        <w:numId w:val="24"/>
      </w:numPr>
      <w:outlineLvl w:val="0"/>
    </w:pPr>
    <w:rPr>
      <w:b/>
      <w:bCs/>
    </w:rPr>
  </w:style>
  <w:style w:type="paragraph" w:styleId="Heading2">
    <w:name w:val="heading 2"/>
    <w:basedOn w:val="Normal"/>
    <w:next w:val="Normal"/>
    <w:qFormat/>
    <w:rsid w:val="00916B66"/>
    <w:pPr>
      <w:keepNext/>
      <w:numPr>
        <w:numId w:val="25"/>
      </w:numPr>
      <w:ind w:left="720"/>
      <w:outlineLvl w:val="1"/>
    </w:pPr>
    <w:rPr>
      <w:b/>
      <w:bCs/>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70C13"/>
    <w:rPr>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sid w:val="00377045"/>
  </w:style>
  <w:style w:type="character" w:styleId="FootnoteReference">
    <w:name w:val="footnote reference"/>
    <w:uiPriority w:val="99"/>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rsid w:val="00377045"/>
    <w:pPr>
      <w:ind w:left="720"/>
      <w:contextualSpacing/>
    </w:pPr>
    <w:rPr>
      <w:rFonts w:eastAsia="MS Mincho"/>
    </w:rPr>
  </w:style>
  <w:style w:type="character" w:styleId="CommentReference">
    <w:name w:val="annotation reference"/>
    <w:rsid w:val="00994D46"/>
    <w:rPr>
      <w:sz w:val="16"/>
      <w:szCs w:val="16"/>
    </w:rPr>
  </w:style>
  <w:style w:type="paragraph" w:styleId="CommentText">
    <w:name w:val="annotation text"/>
    <w:basedOn w:val="Normal"/>
    <w:link w:val="CommentTextChar"/>
    <w:rsid w:val="00994D46"/>
    <w:rPr>
      <w:sz w:val="20"/>
      <w:szCs w:val="20"/>
    </w:rPr>
  </w:style>
  <w:style w:type="character" w:customStyle="1" w:styleId="CommentTextChar">
    <w:name w:val="Comment Text Char"/>
    <w:basedOn w:val="DefaultParagraphFont"/>
    <w:link w:val="CommentText"/>
    <w:rsid w:val="00994D46"/>
  </w:style>
  <w:style w:type="paragraph" w:styleId="CommentSubject">
    <w:name w:val="annotation subject"/>
    <w:basedOn w:val="CommentText"/>
    <w:next w:val="CommentText"/>
    <w:link w:val="CommentSubjectChar"/>
    <w:rsid w:val="00994D46"/>
    <w:rPr>
      <w:b/>
      <w:bCs/>
    </w:rPr>
  </w:style>
  <w:style w:type="character" w:customStyle="1" w:styleId="CommentSubjectChar">
    <w:name w:val="Comment Subject Char"/>
    <w:link w:val="CommentSubject"/>
    <w:rsid w:val="00994D46"/>
    <w:rPr>
      <w:b/>
      <w:bCs/>
    </w:rPr>
  </w:style>
  <w:style w:type="paragraph" w:styleId="Revision">
    <w:name w:val="Revision"/>
    <w:hidden/>
    <w:uiPriority w:val="99"/>
    <w:semiHidden/>
    <w:rsid w:val="006A12B6"/>
    <w:rPr>
      <w:sz w:val="24"/>
      <w:szCs w:val="24"/>
    </w:rPr>
  </w:style>
  <w:style w:type="character" w:styleId="PlaceholderText">
    <w:name w:val="Placeholder Text"/>
    <w:basedOn w:val="DefaultParagraphFont"/>
    <w:uiPriority w:val="99"/>
    <w:semiHidden/>
    <w:rsid w:val="003E2E42"/>
    <w:rPr>
      <w:color w:val="808080"/>
    </w:rPr>
  </w:style>
  <w:style w:type="table" w:styleId="TableGrid">
    <w:name w:val="Table Grid"/>
    <w:basedOn w:val="TableNormal"/>
    <w:rsid w:val="0068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8F4"/>
    <w:pPr>
      <w:ind w:left="720"/>
      <w:contextualSpacing/>
    </w:pPr>
  </w:style>
  <w:style w:type="character" w:customStyle="1" w:styleId="HeaderChar">
    <w:name w:val="Header Char"/>
    <w:basedOn w:val="DefaultParagraphFont"/>
    <w:link w:val="Header"/>
    <w:uiPriority w:val="99"/>
    <w:rsid w:val="00537FDB"/>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300">
      <w:bodyDiv w:val="1"/>
      <w:marLeft w:val="0"/>
      <w:marRight w:val="0"/>
      <w:marTop w:val="0"/>
      <w:marBottom w:val="0"/>
      <w:divBdr>
        <w:top w:val="none" w:sz="0" w:space="0" w:color="auto"/>
        <w:left w:val="none" w:sz="0" w:space="0" w:color="auto"/>
        <w:bottom w:val="none" w:sz="0" w:space="0" w:color="auto"/>
        <w:right w:val="none" w:sz="0" w:space="0" w:color="auto"/>
      </w:divBdr>
    </w:div>
    <w:div w:id="50428550">
      <w:bodyDiv w:val="1"/>
      <w:marLeft w:val="0"/>
      <w:marRight w:val="0"/>
      <w:marTop w:val="0"/>
      <w:marBottom w:val="0"/>
      <w:divBdr>
        <w:top w:val="none" w:sz="0" w:space="0" w:color="auto"/>
        <w:left w:val="none" w:sz="0" w:space="0" w:color="auto"/>
        <w:bottom w:val="none" w:sz="0" w:space="0" w:color="auto"/>
        <w:right w:val="none" w:sz="0" w:space="0" w:color="auto"/>
      </w:divBdr>
    </w:div>
    <w:div w:id="51738368">
      <w:bodyDiv w:val="1"/>
      <w:marLeft w:val="0"/>
      <w:marRight w:val="0"/>
      <w:marTop w:val="0"/>
      <w:marBottom w:val="0"/>
      <w:divBdr>
        <w:top w:val="none" w:sz="0" w:space="0" w:color="auto"/>
        <w:left w:val="none" w:sz="0" w:space="0" w:color="auto"/>
        <w:bottom w:val="none" w:sz="0" w:space="0" w:color="auto"/>
        <w:right w:val="none" w:sz="0" w:space="0" w:color="auto"/>
      </w:divBdr>
    </w:div>
    <w:div w:id="147210964">
      <w:bodyDiv w:val="1"/>
      <w:marLeft w:val="0"/>
      <w:marRight w:val="0"/>
      <w:marTop w:val="0"/>
      <w:marBottom w:val="0"/>
      <w:divBdr>
        <w:top w:val="none" w:sz="0" w:space="0" w:color="auto"/>
        <w:left w:val="none" w:sz="0" w:space="0" w:color="auto"/>
        <w:bottom w:val="none" w:sz="0" w:space="0" w:color="auto"/>
        <w:right w:val="none" w:sz="0" w:space="0" w:color="auto"/>
      </w:divBdr>
    </w:div>
    <w:div w:id="179975965">
      <w:bodyDiv w:val="1"/>
      <w:marLeft w:val="0"/>
      <w:marRight w:val="0"/>
      <w:marTop w:val="0"/>
      <w:marBottom w:val="0"/>
      <w:divBdr>
        <w:top w:val="none" w:sz="0" w:space="0" w:color="auto"/>
        <w:left w:val="none" w:sz="0" w:space="0" w:color="auto"/>
        <w:bottom w:val="none" w:sz="0" w:space="0" w:color="auto"/>
        <w:right w:val="none" w:sz="0" w:space="0" w:color="auto"/>
      </w:divBdr>
    </w:div>
    <w:div w:id="286471465">
      <w:bodyDiv w:val="1"/>
      <w:marLeft w:val="0"/>
      <w:marRight w:val="0"/>
      <w:marTop w:val="0"/>
      <w:marBottom w:val="0"/>
      <w:divBdr>
        <w:top w:val="none" w:sz="0" w:space="0" w:color="auto"/>
        <w:left w:val="none" w:sz="0" w:space="0" w:color="auto"/>
        <w:bottom w:val="none" w:sz="0" w:space="0" w:color="auto"/>
        <w:right w:val="none" w:sz="0" w:space="0" w:color="auto"/>
      </w:divBdr>
    </w:div>
    <w:div w:id="297490439">
      <w:bodyDiv w:val="1"/>
      <w:marLeft w:val="0"/>
      <w:marRight w:val="0"/>
      <w:marTop w:val="0"/>
      <w:marBottom w:val="0"/>
      <w:divBdr>
        <w:top w:val="none" w:sz="0" w:space="0" w:color="auto"/>
        <w:left w:val="none" w:sz="0" w:space="0" w:color="auto"/>
        <w:bottom w:val="none" w:sz="0" w:space="0" w:color="auto"/>
        <w:right w:val="none" w:sz="0" w:space="0" w:color="auto"/>
      </w:divBdr>
    </w:div>
    <w:div w:id="330839657">
      <w:bodyDiv w:val="1"/>
      <w:marLeft w:val="0"/>
      <w:marRight w:val="0"/>
      <w:marTop w:val="0"/>
      <w:marBottom w:val="0"/>
      <w:divBdr>
        <w:top w:val="none" w:sz="0" w:space="0" w:color="auto"/>
        <w:left w:val="none" w:sz="0" w:space="0" w:color="auto"/>
        <w:bottom w:val="none" w:sz="0" w:space="0" w:color="auto"/>
        <w:right w:val="none" w:sz="0" w:space="0" w:color="auto"/>
      </w:divBdr>
    </w:div>
    <w:div w:id="359162149">
      <w:bodyDiv w:val="1"/>
      <w:marLeft w:val="0"/>
      <w:marRight w:val="0"/>
      <w:marTop w:val="0"/>
      <w:marBottom w:val="0"/>
      <w:divBdr>
        <w:top w:val="none" w:sz="0" w:space="0" w:color="auto"/>
        <w:left w:val="none" w:sz="0" w:space="0" w:color="auto"/>
        <w:bottom w:val="none" w:sz="0" w:space="0" w:color="auto"/>
        <w:right w:val="none" w:sz="0" w:space="0" w:color="auto"/>
      </w:divBdr>
    </w:div>
    <w:div w:id="510409661">
      <w:bodyDiv w:val="1"/>
      <w:marLeft w:val="0"/>
      <w:marRight w:val="0"/>
      <w:marTop w:val="0"/>
      <w:marBottom w:val="0"/>
      <w:divBdr>
        <w:top w:val="none" w:sz="0" w:space="0" w:color="auto"/>
        <w:left w:val="none" w:sz="0" w:space="0" w:color="auto"/>
        <w:bottom w:val="none" w:sz="0" w:space="0" w:color="auto"/>
        <w:right w:val="none" w:sz="0" w:space="0" w:color="auto"/>
      </w:divBdr>
    </w:div>
    <w:div w:id="556431152">
      <w:bodyDiv w:val="1"/>
      <w:marLeft w:val="0"/>
      <w:marRight w:val="0"/>
      <w:marTop w:val="0"/>
      <w:marBottom w:val="0"/>
      <w:divBdr>
        <w:top w:val="none" w:sz="0" w:space="0" w:color="auto"/>
        <w:left w:val="none" w:sz="0" w:space="0" w:color="auto"/>
        <w:bottom w:val="none" w:sz="0" w:space="0" w:color="auto"/>
        <w:right w:val="none" w:sz="0" w:space="0" w:color="auto"/>
      </w:divBdr>
    </w:div>
    <w:div w:id="642276636">
      <w:bodyDiv w:val="1"/>
      <w:marLeft w:val="0"/>
      <w:marRight w:val="0"/>
      <w:marTop w:val="0"/>
      <w:marBottom w:val="0"/>
      <w:divBdr>
        <w:top w:val="none" w:sz="0" w:space="0" w:color="auto"/>
        <w:left w:val="none" w:sz="0" w:space="0" w:color="auto"/>
        <w:bottom w:val="none" w:sz="0" w:space="0" w:color="auto"/>
        <w:right w:val="none" w:sz="0" w:space="0" w:color="auto"/>
      </w:divBdr>
    </w:div>
    <w:div w:id="657271278">
      <w:bodyDiv w:val="1"/>
      <w:marLeft w:val="0"/>
      <w:marRight w:val="0"/>
      <w:marTop w:val="0"/>
      <w:marBottom w:val="0"/>
      <w:divBdr>
        <w:top w:val="none" w:sz="0" w:space="0" w:color="auto"/>
        <w:left w:val="none" w:sz="0" w:space="0" w:color="auto"/>
        <w:bottom w:val="none" w:sz="0" w:space="0" w:color="auto"/>
        <w:right w:val="none" w:sz="0" w:space="0" w:color="auto"/>
      </w:divBdr>
    </w:div>
    <w:div w:id="658001213">
      <w:bodyDiv w:val="1"/>
      <w:marLeft w:val="0"/>
      <w:marRight w:val="0"/>
      <w:marTop w:val="0"/>
      <w:marBottom w:val="0"/>
      <w:divBdr>
        <w:top w:val="none" w:sz="0" w:space="0" w:color="auto"/>
        <w:left w:val="none" w:sz="0" w:space="0" w:color="auto"/>
        <w:bottom w:val="none" w:sz="0" w:space="0" w:color="auto"/>
        <w:right w:val="none" w:sz="0" w:space="0" w:color="auto"/>
      </w:divBdr>
    </w:div>
    <w:div w:id="662855418">
      <w:bodyDiv w:val="1"/>
      <w:marLeft w:val="0"/>
      <w:marRight w:val="0"/>
      <w:marTop w:val="0"/>
      <w:marBottom w:val="0"/>
      <w:divBdr>
        <w:top w:val="none" w:sz="0" w:space="0" w:color="auto"/>
        <w:left w:val="none" w:sz="0" w:space="0" w:color="auto"/>
        <w:bottom w:val="none" w:sz="0" w:space="0" w:color="auto"/>
        <w:right w:val="none" w:sz="0" w:space="0" w:color="auto"/>
      </w:divBdr>
    </w:div>
    <w:div w:id="768739055">
      <w:bodyDiv w:val="1"/>
      <w:marLeft w:val="0"/>
      <w:marRight w:val="0"/>
      <w:marTop w:val="0"/>
      <w:marBottom w:val="0"/>
      <w:divBdr>
        <w:top w:val="none" w:sz="0" w:space="0" w:color="auto"/>
        <w:left w:val="none" w:sz="0" w:space="0" w:color="auto"/>
        <w:bottom w:val="none" w:sz="0" w:space="0" w:color="auto"/>
        <w:right w:val="none" w:sz="0" w:space="0" w:color="auto"/>
      </w:divBdr>
    </w:div>
    <w:div w:id="931429627">
      <w:bodyDiv w:val="1"/>
      <w:marLeft w:val="0"/>
      <w:marRight w:val="0"/>
      <w:marTop w:val="0"/>
      <w:marBottom w:val="0"/>
      <w:divBdr>
        <w:top w:val="none" w:sz="0" w:space="0" w:color="auto"/>
        <w:left w:val="none" w:sz="0" w:space="0" w:color="auto"/>
        <w:bottom w:val="none" w:sz="0" w:space="0" w:color="auto"/>
        <w:right w:val="none" w:sz="0" w:space="0" w:color="auto"/>
      </w:divBdr>
    </w:div>
    <w:div w:id="1043168927">
      <w:bodyDiv w:val="1"/>
      <w:marLeft w:val="0"/>
      <w:marRight w:val="0"/>
      <w:marTop w:val="0"/>
      <w:marBottom w:val="0"/>
      <w:divBdr>
        <w:top w:val="none" w:sz="0" w:space="0" w:color="auto"/>
        <w:left w:val="none" w:sz="0" w:space="0" w:color="auto"/>
        <w:bottom w:val="none" w:sz="0" w:space="0" w:color="auto"/>
        <w:right w:val="none" w:sz="0" w:space="0" w:color="auto"/>
      </w:divBdr>
    </w:div>
    <w:div w:id="1118715926">
      <w:bodyDiv w:val="1"/>
      <w:marLeft w:val="0"/>
      <w:marRight w:val="0"/>
      <w:marTop w:val="0"/>
      <w:marBottom w:val="0"/>
      <w:divBdr>
        <w:top w:val="none" w:sz="0" w:space="0" w:color="auto"/>
        <w:left w:val="none" w:sz="0" w:space="0" w:color="auto"/>
        <w:bottom w:val="none" w:sz="0" w:space="0" w:color="auto"/>
        <w:right w:val="none" w:sz="0" w:space="0" w:color="auto"/>
      </w:divBdr>
    </w:div>
    <w:div w:id="1140347412">
      <w:bodyDiv w:val="1"/>
      <w:marLeft w:val="0"/>
      <w:marRight w:val="0"/>
      <w:marTop w:val="0"/>
      <w:marBottom w:val="0"/>
      <w:divBdr>
        <w:top w:val="none" w:sz="0" w:space="0" w:color="auto"/>
        <w:left w:val="none" w:sz="0" w:space="0" w:color="auto"/>
        <w:bottom w:val="none" w:sz="0" w:space="0" w:color="auto"/>
        <w:right w:val="none" w:sz="0" w:space="0" w:color="auto"/>
      </w:divBdr>
    </w:div>
    <w:div w:id="1178890793">
      <w:bodyDiv w:val="1"/>
      <w:marLeft w:val="0"/>
      <w:marRight w:val="0"/>
      <w:marTop w:val="0"/>
      <w:marBottom w:val="0"/>
      <w:divBdr>
        <w:top w:val="none" w:sz="0" w:space="0" w:color="auto"/>
        <w:left w:val="none" w:sz="0" w:space="0" w:color="auto"/>
        <w:bottom w:val="none" w:sz="0" w:space="0" w:color="auto"/>
        <w:right w:val="none" w:sz="0" w:space="0" w:color="auto"/>
      </w:divBdr>
    </w:div>
    <w:div w:id="1207260045">
      <w:bodyDiv w:val="1"/>
      <w:marLeft w:val="0"/>
      <w:marRight w:val="0"/>
      <w:marTop w:val="0"/>
      <w:marBottom w:val="0"/>
      <w:divBdr>
        <w:top w:val="none" w:sz="0" w:space="0" w:color="auto"/>
        <w:left w:val="none" w:sz="0" w:space="0" w:color="auto"/>
        <w:bottom w:val="none" w:sz="0" w:space="0" w:color="auto"/>
        <w:right w:val="none" w:sz="0" w:space="0" w:color="auto"/>
      </w:divBdr>
    </w:div>
    <w:div w:id="1234655187">
      <w:bodyDiv w:val="1"/>
      <w:marLeft w:val="0"/>
      <w:marRight w:val="0"/>
      <w:marTop w:val="0"/>
      <w:marBottom w:val="0"/>
      <w:divBdr>
        <w:top w:val="none" w:sz="0" w:space="0" w:color="auto"/>
        <w:left w:val="none" w:sz="0" w:space="0" w:color="auto"/>
        <w:bottom w:val="none" w:sz="0" w:space="0" w:color="auto"/>
        <w:right w:val="none" w:sz="0" w:space="0" w:color="auto"/>
      </w:divBdr>
    </w:div>
    <w:div w:id="1338844377">
      <w:bodyDiv w:val="1"/>
      <w:marLeft w:val="0"/>
      <w:marRight w:val="0"/>
      <w:marTop w:val="0"/>
      <w:marBottom w:val="0"/>
      <w:divBdr>
        <w:top w:val="none" w:sz="0" w:space="0" w:color="auto"/>
        <w:left w:val="none" w:sz="0" w:space="0" w:color="auto"/>
        <w:bottom w:val="none" w:sz="0" w:space="0" w:color="auto"/>
        <w:right w:val="none" w:sz="0" w:space="0" w:color="auto"/>
      </w:divBdr>
    </w:div>
    <w:div w:id="1610089935">
      <w:bodyDiv w:val="1"/>
      <w:marLeft w:val="0"/>
      <w:marRight w:val="0"/>
      <w:marTop w:val="0"/>
      <w:marBottom w:val="0"/>
      <w:divBdr>
        <w:top w:val="none" w:sz="0" w:space="0" w:color="auto"/>
        <w:left w:val="none" w:sz="0" w:space="0" w:color="auto"/>
        <w:bottom w:val="none" w:sz="0" w:space="0" w:color="auto"/>
        <w:right w:val="none" w:sz="0" w:space="0" w:color="auto"/>
      </w:divBdr>
    </w:div>
    <w:div w:id="1612978442">
      <w:bodyDiv w:val="1"/>
      <w:marLeft w:val="0"/>
      <w:marRight w:val="0"/>
      <w:marTop w:val="0"/>
      <w:marBottom w:val="0"/>
      <w:divBdr>
        <w:top w:val="none" w:sz="0" w:space="0" w:color="auto"/>
        <w:left w:val="none" w:sz="0" w:space="0" w:color="auto"/>
        <w:bottom w:val="none" w:sz="0" w:space="0" w:color="auto"/>
        <w:right w:val="none" w:sz="0" w:space="0" w:color="auto"/>
      </w:divBdr>
    </w:div>
    <w:div w:id="1616255480">
      <w:bodyDiv w:val="1"/>
      <w:marLeft w:val="0"/>
      <w:marRight w:val="0"/>
      <w:marTop w:val="0"/>
      <w:marBottom w:val="0"/>
      <w:divBdr>
        <w:top w:val="none" w:sz="0" w:space="0" w:color="auto"/>
        <w:left w:val="none" w:sz="0" w:space="0" w:color="auto"/>
        <w:bottom w:val="none" w:sz="0" w:space="0" w:color="auto"/>
        <w:right w:val="none" w:sz="0" w:space="0" w:color="auto"/>
      </w:divBdr>
    </w:div>
    <w:div w:id="1720127149">
      <w:bodyDiv w:val="1"/>
      <w:marLeft w:val="0"/>
      <w:marRight w:val="0"/>
      <w:marTop w:val="0"/>
      <w:marBottom w:val="0"/>
      <w:divBdr>
        <w:top w:val="none" w:sz="0" w:space="0" w:color="auto"/>
        <w:left w:val="none" w:sz="0" w:space="0" w:color="auto"/>
        <w:bottom w:val="none" w:sz="0" w:space="0" w:color="auto"/>
        <w:right w:val="none" w:sz="0" w:space="0" w:color="auto"/>
      </w:divBdr>
    </w:div>
    <w:div w:id="1724477925">
      <w:bodyDiv w:val="1"/>
      <w:marLeft w:val="0"/>
      <w:marRight w:val="0"/>
      <w:marTop w:val="0"/>
      <w:marBottom w:val="0"/>
      <w:divBdr>
        <w:top w:val="none" w:sz="0" w:space="0" w:color="auto"/>
        <w:left w:val="none" w:sz="0" w:space="0" w:color="auto"/>
        <w:bottom w:val="none" w:sz="0" w:space="0" w:color="auto"/>
        <w:right w:val="none" w:sz="0" w:space="0" w:color="auto"/>
      </w:divBdr>
    </w:div>
    <w:div w:id="1798379309">
      <w:bodyDiv w:val="1"/>
      <w:marLeft w:val="0"/>
      <w:marRight w:val="0"/>
      <w:marTop w:val="0"/>
      <w:marBottom w:val="0"/>
      <w:divBdr>
        <w:top w:val="none" w:sz="0" w:space="0" w:color="auto"/>
        <w:left w:val="none" w:sz="0" w:space="0" w:color="auto"/>
        <w:bottom w:val="none" w:sz="0" w:space="0" w:color="auto"/>
        <w:right w:val="none" w:sz="0" w:space="0" w:color="auto"/>
      </w:divBdr>
    </w:div>
    <w:div w:id="1830755955">
      <w:bodyDiv w:val="1"/>
      <w:marLeft w:val="0"/>
      <w:marRight w:val="0"/>
      <w:marTop w:val="0"/>
      <w:marBottom w:val="0"/>
      <w:divBdr>
        <w:top w:val="none" w:sz="0" w:space="0" w:color="auto"/>
        <w:left w:val="none" w:sz="0" w:space="0" w:color="auto"/>
        <w:bottom w:val="none" w:sz="0" w:space="0" w:color="auto"/>
        <w:right w:val="none" w:sz="0" w:space="0" w:color="auto"/>
      </w:divBdr>
    </w:div>
    <w:div w:id="1915503688">
      <w:bodyDiv w:val="1"/>
      <w:marLeft w:val="0"/>
      <w:marRight w:val="0"/>
      <w:marTop w:val="0"/>
      <w:marBottom w:val="0"/>
      <w:divBdr>
        <w:top w:val="none" w:sz="0" w:space="0" w:color="auto"/>
        <w:left w:val="none" w:sz="0" w:space="0" w:color="auto"/>
        <w:bottom w:val="none" w:sz="0" w:space="0" w:color="auto"/>
        <w:right w:val="none" w:sz="0" w:space="0" w:color="auto"/>
      </w:divBdr>
    </w:div>
    <w:div w:id="1919513164">
      <w:bodyDiv w:val="1"/>
      <w:marLeft w:val="0"/>
      <w:marRight w:val="0"/>
      <w:marTop w:val="0"/>
      <w:marBottom w:val="0"/>
      <w:divBdr>
        <w:top w:val="none" w:sz="0" w:space="0" w:color="auto"/>
        <w:left w:val="none" w:sz="0" w:space="0" w:color="auto"/>
        <w:bottom w:val="none" w:sz="0" w:space="0" w:color="auto"/>
        <w:right w:val="none" w:sz="0" w:space="0" w:color="auto"/>
      </w:divBdr>
    </w:div>
    <w:div w:id="2023429858">
      <w:bodyDiv w:val="1"/>
      <w:marLeft w:val="0"/>
      <w:marRight w:val="0"/>
      <w:marTop w:val="0"/>
      <w:marBottom w:val="0"/>
      <w:divBdr>
        <w:top w:val="none" w:sz="0" w:space="0" w:color="auto"/>
        <w:left w:val="none" w:sz="0" w:space="0" w:color="auto"/>
        <w:bottom w:val="none" w:sz="0" w:space="0" w:color="auto"/>
        <w:right w:val="none" w:sz="0" w:space="0" w:color="auto"/>
      </w:divBdr>
    </w:div>
    <w:div w:id="2047099400">
      <w:bodyDiv w:val="1"/>
      <w:marLeft w:val="0"/>
      <w:marRight w:val="0"/>
      <w:marTop w:val="0"/>
      <w:marBottom w:val="0"/>
      <w:divBdr>
        <w:top w:val="none" w:sz="0" w:space="0" w:color="auto"/>
        <w:left w:val="none" w:sz="0" w:space="0" w:color="auto"/>
        <w:bottom w:val="none" w:sz="0" w:space="0" w:color="auto"/>
        <w:right w:val="none" w:sz="0" w:space="0" w:color="auto"/>
      </w:divBdr>
    </w:div>
    <w:div w:id="2057120796">
      <w:bodyDiv w:val="1"/>
      <w:marLeft w:val="0"/>
      <w:marRight w:val="0"/>
      <w:marTop w:val="0"/>
      <w:marBottom w:val="0"/>
      <w:divBdr>
        <w:top w:val="none" w:sz="0" w:space="0" w:color="auto"/>
        <w:left w:val="none" w:sz="0" w:space="0" w:color="auto"/>
        <w:bottom w:val="none" w:sz="0" w:space="0" w:color="auto"/>
        <w:right w:val="none" w:sz="0" w:space="0" w:color="auto"/>
      </w:divBdr>
    </w:div>
    <w:div w:id="20694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hansen@cpuc.ca.gov"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l\Desktop\Edmund%20G.%20Brow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E6C3-D921-4175-9CF4-BFB3F0B569A4}">
  <ds:schemaRefs>
    <ds:schemaRef ds:uri="http://schemas.openxmlformats.org/officeDocument/2006/bibliography"/>
  </ds:schemaRefs>
</ds:datastoreItem>
</file>

<file path=customXml/itemProps2.xml><?xml version="1.0" encoding="utf-8"?>
<ds:datastoreItem xmlns:ds="http://schemas.openxmlformats.org/officeDocument/2006/customXml" ds:itemID="{2DA8F578-F896-4043-96FD-9C22F820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Edmund G. Brown Letterhead.dot</Template>
  <TotalTime>0</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10786</CharactersWithSpaces>
  <SharedDoc>false</SharedDoc>
  <HLinks>
    <vt:vector size="12" baseType="variant">
      <vt:variant>
        <vt:i4>2097260</vt:i4>
      </vt:variant>
      <vt:variant>
        <vt:i4>3</vt:i4>
      </vt:variant>
      <vt:variant>
        <vt:i4>0</vt:i4>
      </vt:variant>
      <vt:variant>
        <vt:i4>5</vt:i4>
      </vt:variant>
      <vt:variant>
        <vt:lpwstr>http://www.cpuc.ca.gov/workarea/downloadasset.aspx?id=11610</vt:lpwstr>
      </vt:variant>
      <vt:variant>
        <vt:lpwstr/>
      </vt:variant>
      <vt:variant>
        <vt:i4>1703974</vt:i4>
      </vt:variant>
      <vt:variant>
        <vt:i4>0</vt:i4>
      </vt:variant>
      <vt:variant>
        <vt:i4>0</vt:i4>
      </vt:variant>
      <vt:variant>
        <vt:i4>5</vt:i4>
      </vt:variant>
      <vt:variant>
        <vt:lpwstr>mailto:robert.hansen@cpuc.ca.gov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Sparnasuskas, Gratas (Intern)</dc:creator>
  <cp:lastModifiedBy/>
  <cp:revision>1</cp:revision>
  <cp:lastPrinted>2010-08-23T20:56:00Z</cp:lastPrinted>
  <dcterms:created xsi:type="dcterms:W3CDTF">2016-12-28T21:53:00Z</dcterms:created>
  <dcterms:modified xsi:type="dcterms:W3CDTF">2016-12-28T21:53:00Z</dcterms:modified>
</cp:coreProperties>
</file>