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62E56" w14:textId="77777777" w:rsidR="00BF7862" w:rsidRDefault="00BF7862" w:rsidP="00F6438F">
      <w:pPr>
        <w:jc w:val="center"/>
        <w:rPr>
          <w:rFonts w:ascii="Palatino Linotype" w:hAnsi="Palatino Linotype"/>
          <w:sz w:val="48"/>
          <w:szCs w:val="48"/>
        </w:rPr>
      </w:pPr>
      <w:bookmarkStart w:id="0" w:name="_GoBack"/>
      <w:bookmarkEnd w:id="0"/>
    </w:p>
    <w:p w14:paraId="49AC69DD" w14:textId="77777777" w:rsidR="00BF7862" w:rsidRDefault="00BF7862" w:rsidP="00F6438F">
      <w:pPr>
        <w:jc w:val="center"/>
        <w:rPr>
          <w:rFonts w:ascii="Palatino Linotype" w:hAnsi="Palatino Linotype"/>
          <w:sz w:val="48"/>
          <w:szCs w:val="48"/>
        </w:rPr>
      </w:pPr>
    </w:p>
    <w:p w14:paraId="5E443B74" w14:textId="38E4BE4D" w:rsidR="00BF7862" w:rsidRDefault="0077564A" w:rsidP="00F6438F">
      <w:pPr>
        <w:jc w:val="center"/>
        <w:rPr>
          <w:rFonts w:ascii="Palatino Linotype" w:hAnsi="Palatino Linotype"/>
          <w:b/>
          <w:sz w:val="48"/>
          <w:szCs w:val="48"/>
        </w:rPr>
      </w:pPr>
      <w:r w:rsidRPr="00F6438F">
        <w:rPr>
          <w:rFonts w:ascii="Palatino Linotype" w:hAnsi="Palatino Linotype"/>
          <w:sz w:val="48"/>
          <w:szCs w:val="48"/>
        </w:rPr>
        <w:t xml:space="preserve">2013 Ex-post Efficiency Savings and Performance Incentive (ESPI) </w:t>
      </w:r>
    </w:p>
    <w:p w14:paraId="36D7B613" w14:textId="77777777" w:rsidR="00CE7E8A" w:rsidRDefault="0077564A" w:rsidP="00F6438F">
      <w:pPr>
        <w:jc w:val="center"/>
        <w:rPr>
          <w:rFonts w:ascii="Palatino Linotype" w:hAnsi="Palatino Linotype"/>
          <w:b/>
          <w:sz w:val="48"/>
          <w:szCs w:val="48"/>
        </w:rPr>
      </w:pPr>
      <w:r w:rsidRPr="00F6438F">
        <w:rPr>
          <w:rFonts w:ascii="Palatino Linotype" w:hAnsi="Palatino Linotype"/>
          <w:b/>
          <w:sz w:val="48"/>
          <w:szCs w:val="48"/>
        </w:rPr>
        <w:t>Performance Statement Report</w:t>
      </w:r>
    </w:p>
    <w:p w14:paraId="73910395" w14:textId="77777777" w:rsidR="00BF7862" w:rsidRDefault="00BF7862" w:rsidP="00F6438F">
      <w:pPr>
        <w:jc w:val="center"/>
        <w:rPr>
          <w:rFonts w:ascii="Palatino Linotype" w:hAnsi="Palatino Linotype"/>
          <w:b/>
          <w:sz w:val="48"/>
          <w:szCs w:val="48"/>
        </w:rPr>
      </w:pPr>
    </w:p>
    <w:p w14:paraId="1D437380" w14:textId="77777777" w:rsidR="00BF7862" w:rsidRDefault="00BF7862" w:rsidP="00F6438F">
      <w:pPr>
        <w:jc w:val="center"/>
        <w:rPr>
          <w:rFonts w:ascii="Palatino Linotype" w:hAnsi="Palatino Linotype"/>
          <w:b/>
          <w:sz w:val="48"/>
          <w:szCs w:val="48"/>
        </w:rPr>
      </w:pPr>
    </w:p>
    <w:p w14:paraId="76662E34" w14:textId="490788CF" w:rsidR="00BF7862" w:rsidRPr="00F6438F" w:rsidRDefault="00BF7862" w:rsidP="00F6438F">
      <w:pPr>
        <w:jc w:val="center"/>
        <w:rPr>
          <w:rFonts w:ascii="Palatino Linotype" w:hAnsi="Palatino Linotype"/>
          <w:b/>
          <w:sz w:val="48"/>
          <w:szCs w:val="48"/>
        </w:rPr>
      </w:pPr>
      <w:r>
        <w:rPr>
          <w:rFonts w:ascii="Palatino Linotype" w:hAnsi="Palatino Linotype"/>
          <w:b/>
          <w:sz w:val="48"/>
          <w:szCs w:val="48"/>
        </w:rPr>
        <w:t>June 15, 2015</w:t>
      </w:r>
    </w:p>
    <w:p w14:paraId="0C70BC11" w14:textId="00D204B4" w:rsidR="00BF7862" w:rsidRDefault="00BF7862">
      <w:pPr>
        <w:spacing w:after="0" w:line="240" w:lineRule="auto"/>
        <w:rPr>
          <w:rFonts w:ascii="Palatino Linotype" w:hAnsi="Palatino Linotype"/>
        </w:rPr>
      </w:pPr>
      <w:r>
        <w:rPr>
          <w:rFonts w:ascii="Palatino Linotype" w:hAnsi="Palatino Linotype"/>
        </w:rPr>
        <w:br w:type="page"/>
      </w:r>
    </w:p>
    <w:p w14:paraId="5BEB7E63" w14:textId="77777777" w:rsidR="00CE7E8A" w:rsidRDefault="00CE7E8A" w:rsidP="00CE7E8A">
      <w:pPr>
        <w:numPr>
          <w:ilvl w:val="0"/>
          <w:numId w:val="1"/>
        </w:numPr>
        <w:rPr>
          <w:rFonts w:ascii="Palatino Linotype" w:hAnsi="Palatino Linotype"/>
          <w:b/>
        </w:rPr>
      </w:pPr>
      <w:r w:rsidRPr="00181EF9">
        <w:rPr>
          <w:rFonts w:ascii="Palatino Linotype" w:hAnsi="Palatino Linotype"/>
          <w:b/>
        </w:rPr>
        <w:lastRenderedPageBreak/>
        <w:t>Introduction</w:t>
      </w:r>
    </w:p>
    <w:p w14:paraId="745C8E3A" w14:textId="7C607B12" w:rsidR="00181EF9" w:rsidRPr="00181EF9" w:rsidRDefault="00427144" w:rsidP="005B173F">
      <w:pPr>
        <w:pStyle w:val="ListParagraph"/>
        <w:jc w:val="both"/>
        <w:rPr>
          <w:rFonts w:ascii="Palatino Linotype" w:hAnsi="Palatino Linotype"/>
        </w:rPr>
      </w:pPr>
      <w:r>
        <w:rPr>
          <w:rFonts w:ascii="Palatino Linotype" w:hAnsi="Palatino Linotype"/>
        </w:rPr>
        <w:t xml:space="preserve">This Draft Performance Statement report provides Commission Staff’s proposed earnings amounts for the 2013 </w:t>
      </w:r>
      <w:r w:rsidRPr="00181EF9">
        <w:rPr>
          <w:rFonts w:ascii="Palatino Linotype" w:hAnsi="Palatino Linotype"/>
        </w:rPr>
        <w:t>Efficiency Savings and Performance Incentive</w:t>
      </w:r>
      <w:r>
        <w:rPr>
          <w:rFonts w:ascii="Palatino Linotype" w:hAnsi="Palatino Linotype"/>
        </w:rPr>
        <w:t>.  Interested parties will have an opportunity to provide comments on this draft report</w:t>
      </w:r>
      <w:r w:rsidR="00D778D2">
        <w:rPr>
          <w:rFonts w:ascii="Palatino Linotype" w:hAnsi="Palatino Linotype"/>
        </w:rPr>
        <w:t xml:space="preserve"> and the proposed values</w:t>
      </w:r>
      <w:r w:rsidR="003D7A31">
        <w:rPr>
          <w:rFonts w:ascii="Palatino Linotype" w:hAnsi="Palatino Linotype"/>
        </w:rPr>
        <w:t xml:space="preserve"> by July 13</w:t>
      </w:r>
      <w:r>
        <w:rPr>
          <w:rFonts w:ascii="Palatino Linotype" w:hAnsi="Palatino Linotype"/>
        </w:rPr>
        <w:t xml:space="preserve">, 2015.  Commission Staff will finalize the report and earnings amount and the IOUs will use these final values in an advice letter filing by </w:t>
      </w:r>
      <w:r w:rsidR="00A75314">
        <w:rPr>
          <w:rFonts w:ascii="Palatino Linotype" w:hAnsi="Palatino Linotype"/>
        </w:rPr>
        <w:t>September</w:t>
      </w:r>
      <w:r w:rsidR="00474B3B">
        <w:rPr>
          <w:rFonts w:ascii="Palatino Linotype" w:hAnsi="Palatino Linotype"/>
        </w:rPr>
        <w:t xml:space="preserve"> </w:t>
      </w:r>
      <w:r>
        <w:rPr>
          <w:rFonts w:ascii="Palatino Linotype" w:hAnsi="Palatino Linotype"/>
        </w:rPr>
        <w:t>1</w:t>
      </w:r>
      <w:r w:rsidR="00A75314">
        <w:rPr>
          <w:rFonts w:ascii="Palatino Linotype" w:hAnsi="Palatino Linotype"/>
        </w:rPr>
        <w:t xml:space="preserve">, </w:t>
      </w:r>
      <w:r>
        <w:rPr>
          <w:rFonts w:ascii="Palatino Linotype" w:hAnsi="Palatino Linotype"/>
        </w:rPr>
        <w:t>2015 at the latest.</w:t>
      </w:r>
      <w:r w:rsidR="00A75314">
        <w:rPr>
          <w:rFonts w:ascii="Palatino Linotype" w:hAnsi="Palatino Linotype"/>
        </w:rPr>
        <w:t xml:space="preserve">  </w:t>
      </w:r>
      <w:r w:rsidR="00D778D2">
        <w:rPr>
          <w:rFonts w:ascii="Palatino Linotype" w:hAnsi="Palatino Linotype"/>
        </w:rPr>
        <w:t xml:space="preserve">The </w:t>
      </w:r>
      <w:r w:rsidR="00A75314">
        <w:rPr>
          <w:rFonts w:ascii="Palatino Linotype" w:hAnsi="Palatino Linotype"/>
        </w:rPr>
        <w:t>actual award will come in the form of a resolution from the CPUC in response to the advice letter.</w:t>
      </w:r>
    </w:p>
    <w:p w14:paraId="1DC9475A" w14:textId="77777777" w:rsidR="00CE7E8A" w:rsidRDefault="00CE7E8A" w:rsidP="00CE7E8A">
      <w:pPr>
        <w:numPr>
          <w:ilvl w:val="0"/>
          <w:numId w:val="1"/>
        </w:numPr>
        <w:rPr>
          <w:rFonts w:ascii="Palatino Linotype" w:hAnsi="Palatino Linotype"/>
          <w:b/>
        </w:rPr>
      </w:pPr>
      <w:r w:rsidRPr="00181EF9">
        <w:rPr>
          <w:rFonts w:ascii="Palatino Linotype" w:hAnsi="Palatino Linotype"/>
          <w:b/>
        </w:rPr>
        <w:t>Regulatory Background</w:t>
      </w:r>
    </w:p>
    <w:p w14:paraId="4DC2F9F9" w14:textId="684F8788" w:rsidR="00181EF9" w:rsidRPr="00181EF9" w:rsidRDefault="00181EF9" w:rsidP="00181EF9">
      <w:pPr>
        <w:pStyle w:val="ListParagraph"/>
        <w:jc w:val="both"/>
        <w:rPr>
          <w:rFonts w:ascii="Palatino Linotype" w:hAnsi="Palatino Linotype"/>
        </w:rPr>
      </w:pPr>
      <w:r w:rsidRPr="00181EF9">
        <w:rPr>
          <w:rFonts w:ascii="Palatino Linotype" w:hAnsi="Palatino Linotype"/>
        </w:rPr>
        <w:t>D.13-09-023 adopted the Efficiency Savings and Performance Incentive (ESPI) and ordered Commission Staff to submit 2013 ex-post results by December 31, 2014.  On December 24, 2014, Interim Executive Director Timothy Sullivan granted Commission Staff’s extension request to submit draft evaluation results by March 31, 2015.</w:t>
      </w:r>
      <w:r w:rsidR="00D778D2">
        <w:rPr>
          <w:rFonts w:ascii="Palatino Linotype" w:hAnsi="Palatino Linotype"/>
        </w:rPr>
        <w:t xml:space="preserve">  Commission staff is working on process improvements to continue to streamline the outputs for the ESPI deliverables and the transparency and accessibility of the deliverables.</w:t>
      </w:r>
    </w:p>
    <w:p w14:paraId="4BFC9ABA" w14:textId="77777777" w:rsidR="00181EF9" w:rsidRPr="00181EF9" w:rsidRDefault="00181EF9" w:rsidP="00181EF9">
      <w:pPr>
        <w:pStyle w:val="ListParagraph"/>
        <w:jc w:val="both"/>
        <w:rPr>
          <w:rFonts w:ascii="Palatino Linotype" w:hAnsi="Palatino Linotype"/>
        </w:rPr>
      </w:pPr>
      <w:r w:rsidRPr="00181EF9">
        <w:rPr>
          <w:rFonts w:ascii="Palatino Linotype" w:hAnsi="Palatino Linotype"/>
        </w:rPr>
        <w:t>Commission Staff posted the 2013 ESPI memos on March 9, 2015 and held a public stakeholder workshop on March 25, 2015.  On April 21, 2015, Pacific Gas and Electric Company</w:t>
      </w:r>
      <w:r w:rsidR="009717F8">
        <w:rPr>
          <w:rFonts w:ascii="Palatino Linotype" w:hAnsi="Palatino Linotype"/>
        </w:rPr>
        <w:t xml:space="preserve"> (PG&amp;E)</w:t>
      </w:r>
      <w:r w:rsidRPr="00181EF9">
        <w:rPr>
          <w:rFonts w:ascii="Palatino Linotype" w:hAnsi="Palatino Linotype"/>
        </w:rPr>
        <w:t xml:space="preserve"> and Southern California Edison Company</w:t>
      </w:r>
      <w:r w:rsidR="009717F8">
        <w:rPr>
          <w:rFonts w:ascii="Palatino Linotype" w:hAnsi="Palatino Linotype"/>
        </w:rPr>
        <w:t xml:space="preserve"> (SCE)</w:t>
      </w:r>
      <w:r w:rsidRPr="00181EF9">
        <w:rPr>
          <w:rFonts w:ascii="Palatino Linotype" w:hAnsi="Palatino Linotype"/>
        </w:rPr>
        <w:t xml:space="preserve"> filed joint comments, while San Diego Gas and Electric Company</w:t>
      </w:r>
      <w:r w:rsidR="009717F8">
        <w:rPr>
          <w:rFonts w:ascii="Palatino Linotype" w:hAnsi="Palatino Linotype"/>
        </w:rPr>
        <w:t xml:space="preserve"> (SDG&amp;E)</w:t>
      </w:r>
      <w:r w:rsidRPr="00181EF9">
        <w:rPr>
          <w:rFonts w:ascii="Palatino Linotype" w:hAnsi="Palatino Linotype"/>
        </w:rPr>
        <w:t xml:space="preserve"> and Southern California Gas Company</w:t>
      </w:r>
      <w:r w:rsidR="009717F8">
        <w:rPr>
          <w:rFonts w:ascii="Palatino Linotype" w:hAnsi="Palatino Linotype"/>
        </w:rPr>
        <w:t xml:space="preserve"> (SCG)</w:t>
      </w:r>
      <w:r w:rsidRPr="00181EF9">
        <w:rPr>
          <w:rFonts w:ascii="Palatino Linotype" w:hAnsi="Palatino Linotype"/>
        </w:rPr>
        <w:t xml:space="preserve"> filed individual comments</w:t>
      </w:r>
      <w:r>
        <w:rPr>
          <w:rStyle w:val="FootnoteReference"/>
          <w:rFonts w:ascii="Palatino Linotype" w:hAnsi="Palatino Linotype"/>
        </w:rPr>
        <w:footnoteReference w:id="1"/>
      </w:r>
      <w:r w:rsidRPr="00181EF9">
        <w:rPr>
          <w:rFonts w:ascii="Palatino Linotype" w:hAnsi="Palatino Linotype"/>
        </w:rPr>
        <w:t>.  Commission Staff and its evaluation consultants reviewed the technical comments and made edits to the</w:t>
      </w:r>
      <w:r>
        <w:rPr>
          <w:rFonts w:ascii="Palatino Linotype" w:hAnsi="Palatino Linotype"/>
        </w:rPr>
        <w:t xml:space="preserve"> memos and data where necessary, and posted the final memos and 2013 ESPI database to the CPUC web site</w:t>
      </w:r>
      <w:r>
        <w:rPr>
          <w:rStyle w:val="FootnoteReference"/>
          <w:rFonts w:ascii="Palatino Linotype" w:hAnsi="Palatino Linotype"/>
        </w:rPr>
        <w:footnoteReference w:id="2"/>
      </w:r>
      <w:r>
        <w:rPr>
          <w:rFonts w:ascii="Palatino Linotype" w:hAnsi="Palatino Linotype"/>
        </w:rPr>
        <w:t xml:space="preserve"> on May 7, 2015.</w:t>
      </w:r>
    </w:p>
    <w:p w14:paraId="34C8A02C" w14:textId="77777777" w:rsidR="00CE7E8A" w:rsidRDefault="00CE7E8A" w:rsidP="00882AF9">
      <w:pPr>
        <w:keepNext/>
        <w:keepLines/>
        <w:numPr>
          <w:ilvl w:val="0"/>
          <w:numId w:val="1"/>
        </w:numPr>
        <w:rPr>
          <w:rFonts w:ascii="Palatino Linotype" w:hAnsi="Palatino Linotype"/>
          <w:b/>
        </w:rPr>
      </w:pPr>
      <w:r w:rsidRPr="00181EF9">
        <w:rPr>
          <w:rFonts w:ascii="Palatino Linotype" w:hAnsi="Palatino Linotype"/>
          <w:b/>
        </w:rPr>
        <w:lastRenderedPageBreak/>
        <w:t>Earnings</w:t>
      </w:r>
    </w:p>
    <w:p w14:paraId="0FB58038" w14:textId="0EB78B14" w:rsidR="00F203EE" w:rsidRDefault="00181EF9" w:rsidP="00882AF9">
      <w:pPr>
        <w:keepNext/>
        <w:keepLines/>
        <w:ind w:left="720"/>
        <w:jc w:val="both"/>
        <w:rPr>
          <w:rFonts w:ascii="Palatino Linotype" w:hAnsi="Palatino Linotype"/>
        </w:rPr>
      </w:pPr>
      <w:r>
        <w:rPr>
          <w:rFonts w:ascii="Palatino Linotype" w:hAnsi="Palatino Linotype"/>
        </w:rPr>
        <w:t xml:space="preserve">Based on the values from the 2013 ESPI database and the earnings coefficients established in D.13-09-023, </w:t>
      </w:r>
      <w:r w:rsidR="00F203EE">
        <w:rPr>
          <w:rFonts w:ascii="Palatino Linotype" w:hAnsi="Palatino Linotype"/>
        </w:rPr>
        <w:t xml:space="preserve">Commission staff recommends the following earnings </w:t>
      </w:r>
      <w:r w:rsidR="00C01746">
        <w:rPr>
          <w:rStyle w:val="FootnoteReference"/>
          <w:rFonts w:ascii="Palatino Linotype" w:hAnsi="Palatino Linotype"/>
        </w:rPr>
        <w:footnoteReference w:id="3"/>
      </w:r>
      <w:r w:rsidR="00F203EE">
        <w:rPr>
          <w:rFonts w:ascii="Palatino Linotype" w:hAnsi="Palatino Linotype"/>
        </w:rPr>
        <w:t xml:space="preserve">amounts for </w:t>
      </w:r>
      <w:r w:rsidR="00D778D2">
        <w:rPr>
          <w:rFonts w:ascii="Palatino Linotype" w:hAnsi="Palatino Linotype"/>
        </w:rPr>
        <w:t xml:space="preserve">utility </w:t>
      </w:r>
      <w:r w:rsidR="00F203EE">
        <w:rPr>
          <w:rFonts w:ascii="Palatino Linotype" w:hAnsi="Palatino Linotype"/>
        </w:rPr>
        <w:t xml:space="preserve">performance </w:t>
      </w:r>
      <w:r w:rsidR="00D778D2">
        <w:rPr>
          <w:rFonts w:ascii="Palatino Linotype" w:hAnsi="Palatino Linotype"/>
        </w:rPr>
        <w:t xml:space="preserve">of </w:t>
      </w:r>
      <w:r w:rsidR="00F203EE">
        <w:rPr>
          <w:rFonts w:ascii="Palatino Linotype" w:hAnsi="Palatino Linotype"/>
        </w:rPr>
        <w:t>2013 energy efficiency program activity:</w:t>
      </w:r>
    </w:p>
    <w:p w14:paraId="41049BB7" w14:textId="2A7DA059" w:rsidR="00F203EE" w:rsidRPr="00F203EE" w:rsidRDefault="00F203EE" w:rsidP="00F203EE">
      <w:pPr>
        <w:pStyle w:val="Caption"/>
        <w:keepNext/>
        <w:rPr>
          <w:rFonts w:ascii="Palatino Linotype" w:hAnsi="Palatino Linotype"/>
        </w:rPr>
      </w:pPr>
      <w:r w:rsidRPr="00F203EE">
        <w:rPr>
          <w:rFonts w:ascii="Palatino Linotype" w:hAnsi="Palatino Linotype"/>
        </w:rPr>
        <w:t xml:space="preserve">Table </w:t>
      </w:r>
      <w:r w:rsidRPr="00F203EE">
        <w:rPr>
          <w:rFonts w:ascii="Palatino Linotype" w:hAnsi="Palatino Linotype"/>
        </w:rPr>
        <w:fldChar w:fldCharType="begin"/>
      </w:r>
      <w:r w:rsidRPr="00F203EE">
        <w:rPr>
          <w:rFonts w:ascii="Palatino Linotype" w:hAnsi="Palatino Linotype"/>
        </w:rPr>
        <w:instrText xml:space="preserve"> SEQ Table \* ARABIC </w:instrText>
      </w:r>
      <w:r w:rsidRPr="00F203EE">
        <w:rPr>
          <w:rFonts w:ascii="Palatino Linotype" w:hAnsi="Palatino Linotype"/>
        </w:rPr>
        <w:fldChar w:fldCharType="separate"/>
      </w:r>
      <w:r w:rsidR="00DD4114">
        <w:rPr>
          <w:rFonts w:ascii="Palatino Linotype" w:hAnsi="Palatino Linotype"/>
          <w:noProof/>
        </w:rPr>
        <w:t>1</w:t>
      </w:r>
      <w:r w:rsidRPr="00F203EE">
        <w:rPr>
          <w:rFonts w:ascii="Palatino Linotype" w:hAnsi="Palatino Linotype"/>
        </w:rPr>
        <w:fldChar w:fldCharType="end"/>
      </w:r>
      <w:r w:rsidRPr="00F203EE">
        <w:rPr>
          <w:rFonts w:ascii="Palatino Linotype" w:hAnsi="Palatino Linotype"/>
        </w:rPr>
        <w:t xml:space="preserve"> </w:t>
      </w:r>
      <w:r w:rsidR="00FA2F19">
        <w:rPr>
          <w:rFonts w:ascii="Palatino Linotype" w:hAnsi="Palatino Linotype"/>
        </w:rPr>
        <w:t>–</w:t>
      </w:r>
      <w:r w:rsidRPr="00F203EE">
        <w:rPr>
          <w:rFonts w:ascii="Palatino Linotype" w:hAnsi="Palatino Linotype"/>
        </w:rPr>
        <w:t xml:space="preserve"> </w:t>
      </w:r>
      <w:r w:rsidR="00FA2F19">
        <w:rPr>
          <w:rFonts w:ascii="Palatino Linotype" w:hAnsi="Palatino Linotype"/>
        </w:rPr>
        <w:t xml:space="preserve">Proposed </w:t>
      </w:r>
      <w:r w:rsidRPr="00F203EE">
        <w:rPr>
          <w:rFonts w:ascii="Palatino Linotype" w:hAnsi="Palatino Linotype"/>
        </w:rPr>
        <w:t>2013 Ex-Post Earnings</w:t>
      </w:r>
      <w:r w:rsidR="00D778D2">
        <w:rPr>
          <w:rFonts w:ascii="Palatino Linotype" w:hAnsi="Palatino Linotype"/>
        </w:rPr>
        <w:t xml:space="preserve"> by Utility</w:t>
      </w:r>
    </w:p>
    <w:tbl>
      <w:tblPr>
        <w:tblW w:w="9360" w:type="dxa"/>
        <w:jc w:val="center"/>
        <w:tblLook w:val="04A0" w:firstRow="1" w:lastRow="0" w:firstColumn="1" w:lastColumn="0" w:noHBand="0" w:noVBand="1"/>
      </w:tblPr>
      <w:tblGrid>
        <w:gridCol w:w="2192"/>
        <w:gridCol w:w="1792"/>
        <w:gridCol w:w="1792"/>
        <w:gridCol w:w="1792"/>
        <w:gridCol w:w="1792"/>
      </w:tblGrid>
      <w:tr w:rsidR="00C7650D" w:rsidRPr="00C7650D" w14:paraId="78F183EF" w14:textId="77777777" w:rsidTr="00652AF4">
        <w:trPr>
          <w:trHeight w:val="552"/>
          <w:jc w:val="center"/>
        </w:trPr>
        <w:tc>
          <w:tcPr>
            <w:tcW w:w="2192" w:type="dxa"/>
            <w:tcBorders>
              <w:top w:val="single" w:sz="4" w:space="0" w:color="009999"/>
              <w:left w:val="nil"/>
              <w:bottom w:val="single" w:sz="4" w:space="0" w:color="009999"/>
              <w:right w:val="single" w:sz="4" w:space="0" w:color="009999"/>
            </w:tcBorders>
            <w:shd w:val="clear" w:color="auto" w:fill="auto"/>
            <w:vAlign w:val="center"/>
            <w:hideMark/>
          </w:tcPr>
          <w:p w14:paraId="68D69E3C" w14:textId="77777777" w:rsidR="00C7650D" w:rsidRPr="00C7650D" w:rsidRDefault="00C7650D" w:rsidP="00C7650D">
            <w:pPr>
              <w:spacing w:after="0" w:line="240" w:lineRule="auto"/>
              <w:ind w:firstLineChars="100" w:firstLine="201"/>
              <w:rPr>
                <w:rFonts w:ascii="Palatino Linotype" w:eastAsia="Times New Roman" w:hAnsi="Palatino Linotype"/>
                <w:b/>
                <w:bCs/>
                <w:color w:val="000000"/>
                <w:sz w:val="20"/>
                <w:szCs w:val="20"/>
              </w:rPr>
            </w:pPr>
            <w:r w:rsidRPr="00C7650D">
              <w:rPr>
                <w:rFonts w:ascii="Palatino Linotype" w:eastAsia="Times New Roman" w:hAnsi="Palatino Linotype"/>
                <w:b/>
                <w:bCs/>
                <w:color w:val="000000"/>
                <w:sz w:val="20"/>
                <w:szCs w:val="20"/>
              </w:rPr>
              <w:t> </w:t>
            </w:r>
          </w:p>
        </w:tc>
        <w:tc>
          <w:tcPr>
            <w:tcW w:w="1792" w:type="dxa"/>
            <w:tcBorders>
              <w:top w:val="single" w:sz="4" w:space="0" w:color="009999"/>
              <w:left w:val="single" w:sz="4" w:space="0" w:color="009999"/>
              <w:bottom w:val="single" w:sz="4" w:space="0" w:color="009999"/>
              <w:right w:val="nil"/>
            </w:tcBorders>
            <w:shd w:val="clear" w:color="000000" w:fill="F3FFFF"/>
            <w:vAlign w:val="center"/>
            <w:hideMark/>
          </w:tcPr>
          <w:p w14:paraId="0C814D13" w14:textId="77777777" w:rsidR="00C7650D" w:rsidRPr="00C7650D" w:rsidRDefault="00C7650D" w:rsidP="00C7650D">
            <w:pPr>
              <w:spacing w:after="0" w:line="240" w:lineRule="auto"/>
              <w:jc w:val="center"/>
              <w:rPr>
                <w:rFonts w:ascii="Palatino Linotype" w:eastAsia="Times New Roman" w:hAnsi="Palatino Linotype"/>
                <w:b/>
                <w:bCs/>
                <w:color w:val="000000"/>
                <w:sz w:val="18"/>
                <w:szCs w:val="18"/>
              </w:rPr>
            </w:pPr>
            <w:r w:rsidRPr="00C7650D">
              <w:rPr>
                <w:rFonts w:ascii="Palatino Linotype" w:eastAsia="Times New Roman" w:hAnsi="Palatino Linotype"/>
                <w:b/>
                <w:bCs/>
                <w:color w:val="000000"/>
                <w:sz w:val="18"/>
                <w:szCs w:val="18"/>
              </w:rPr>
              <w:t>kWh Earnings</w:t>
            </w:r>
          </w:p>
        </w:tc>
        <w:tc>
          <w:tcPr>
            <w:tcW w:w="1792" w:type="dxa"/>
            <w:tcBorders>
              <w:top w:val="single" w:sz="4" w:space="0" w:color="009999"/>
              <w:left w:val="nil"/>
              <w:bottom w:val="single" w:sz="4" w:space="0" w:color="009999"/>
              <w:right w:val="nil"/>
            </w:tcBorders>
            <w:shd w:val="clear" w:color="000000" w:fill="F3FFFF"/>
            <w:vAlign w:val="center"/>
            <w:hideMark/>
          </w:tcPr>
          <w:p w14:paraId="57768D3F" w14:textId="77777777" w:rsidR="00C7650D" w:rsidRPr="00C7650D" w:rsidRDefault="00C7650D" w:rsidP="00C7650D">
            <w:pPr>
              <w:spacing w:after="0" w:line="240" w:lineRule="auto"/>
              <w:jc w:val="center"/>
              <w:rPr>
                <w:rFonts w:ascii="Palatino Linotype" w:eastAsia="Times New Roman" w:hAnsi="Palatino Linotype"/>
                <w:b/>
                <w:bCs/>
                <w:color w:val="000000"/>
                <w:sz w:val="18"/>
                <w:szCs w:val="18"/>
              </w:rPr>
            </w:pPr>
            <w:r w:rsidRPr="00C7650D">
              <w:rPr>
                <w:rFonts w:ascii="Palatino Linotype" w:eastAsia="Times New Roman" w:hAnsi="Palatino Linotype"/>
                <w:b/>
                <w:bCs/>
                <w:color w:val="000000"/>
                <w:sz w:val="18"/>
                <w:szCs w:val="18"/>
              </w:rPr>
              <w:t>kW Earnings</w:t>
            </w:r>
          </w:p>
        </w:tc>
        <w:tc>
          <w:tcPr>
            <w:tcW w:w="1792" w:type="dxa"/>
            <w:tcBorders>
              <w:top w:val="single" w:sz="4" w:space="0" w:color="009999"/>
              <w:left w:val="nil"/>
              <w:bottom w:val="single" w:sz="4" w:space="0" w:color="009999"/>
              <w:right w:val="single" w:sz="4" w:space="0" w:color="009999"/>
            </w:tcBorders>
            <w:shd w:val="clear" w:color="000000" w:fill="F3FFFF"/>
            <w:vAlign w:val="center"/>
            <w:hideMark/>
          </w:tcPr>
          <w:p w14:paraId="7A157E54" w14:textId="349B02F7" w:rsidR="00C7650D" w:rsidRPr="00C7650D" w:rsidRDefault="00C7650D" w:rsidP="00C7650D">
            <w:pPr>
              <w:spacing w:after="0" w:line="240" w:lineRule="auto"/>
              <w:jc w:val="center"/>
              <w:rPr>
                <w:rFonts w:ascii="Palatino Linotype" w:eastAsia="Times New Roman" w:hAnsi="Palatino Linotype"/>
                <w:b/>
                <w:bCs/>
                <w:color w:val="000000"/>
                <w:sz w:val="18"/>
                <w:szCs w:val="18"/>
              </w:rPr>
            </w:pPr>
            <w:r w:rsidRPr="00C7650D">
              <w:rPr>
                <w:rFonts w:ascii="Palatino Linotype" w:eastAsia="Times New Roman" w:hAnsi="Palatino Linotype"/>
                <w:b/>
                <w:bCs/>
                <w:color w:val="000000"/>
                <w:sz w:val="18"/>
                <w:szCs w:val="18"/>
              </w:rPr>
              <w:t>Therm</w:t>
            </w:r>
            <w:r w:rsidR="00882AF9">
              <w:rPr>
                <w:rFonts w:ascii="Palatino Linotype" w:eastAsia="Times New Roman" w:hAnsi="Palatino Linotype"/>
                <w:b/>
                <w:bCs/>
                <w:color w:val="000000"/>
                <w:sz w:val="18"/>
                <w:szCs w:val="18"/>
              </w:rPr>
              <w:t>s</w:t>
            </w:r>
            <w:r w:rsidRPr="00C7650D">
              <w:rPr>
                <w:rFonts w:ascii="Palatino Linotype" w:eastAsia="Times New Roman" w:hAnsi="Palatino Linotype"/>
                <w:b/>
                <w:bCs/>
                <w:color w:val="000000"/>
                <w:sz w:val="18"/>
                <w:szCs w:val="18"/>
              </w:rPr>
              <w:t xml:space="preserve"> Earnings</w:t>
            </w:r>
          </w:p>
        </w:tc>
        <w:tc>
          <w:tcPr>
            <w:tcW w:w="1792" w:type="dxa"/>
            <w:tcBorders>
              <w:top w:val="single" w:sz="4" w:space="0" w:color="009999"/>
              <w:left w:val="single" w:sz="4" w:space="0" w:color="009999"/>
              <w:bottom w:val="single" w:sz="4" w:space="0" w:color="009999"/>
              <w:right w:val="nil"/>
            </w:tcBorders>
            <w:shd w:val="clear" w:color="000000" w:fill="F3FFFF"/>
            <w:vAlign w:val="center"/>
            <w:hideMark/>
          </w:tcPr>
          <w:p w14:paraId="259C518E" w14:textId="77777777" w:rsidR="00C7650D" w:rsidRPr="00C7650D" w:rsidRDefault="00C7650D" w:rsidP="00C7650D">
            <w:pPr>
              <w:spacing w:after="0" w:line="240" w:lineRule="auto"/>
              <w:jc w:val="center"/>
              <w:rPr>
                <w:rFonts w:ascii="Palatino Linotype" w:eastAsia="Times New Roman" w:hAnsi="Palatino Linotype"/>
                <w:b/>
                <w:bCs/>
                <w:color w:val="000000"/>
                <w:sz w:val="18"/>
                <w:szCs w:val="18"/>
              </w:rPr>
            </w:pPr>
            <w:r w:rsidRPr="00C7650D">
              <w:rPr>
                <w:rFonts w:ascii="Palatino Linotype" w:eastAsia="Times New Roman" w:hAnsi="Palatino Linotype"/>
                <w:b/>
                <w:bCs/>
                <w:color w:val="000000"/>
                <w:sz w:val="18"/>
                <w:szCs w:val="18"/>
              </w:rPr>
              <w:t>Total</w:t>
            </w:r>
          </w:p>
        </w:tc>
      </w:tr>
      <w:tr w:rsidR="00B31FA9" w:rsidRPr="00C7650D" w14:paraId="57AC1A01" w14:textId="77777777" w:rsidTr="00652AF4">
        <w:trPr>
          <w:trHeight w:val="300"/>
          <w:jc w:val="center"/>
        </w:trPr>
        <w:tc>
          <w:tcPr>
            <w:tcW w:w="2192" w:type="dxa"/>
            <w:tcBorders>
              <w:top w:val="nil"/>
              <w:left w:val="nil"/>
              <w:bottom w:val="single" w:sz="4" w:space="0" w:color="009999"/>
              <w:right w:val="single" w:sz="4" w:space="0" w:color="009999"/>
            </w:tcBorders>
            <w:shd w:val="clear" w:color="auto" w:fill="auto"/>
            <w:vAlign w:val="center"/>
            <w:hideMark/>
          </w:tcPr>
          <w:p w14:paraId="645F4F60" w14:textId="77777777" w:rsidR="00B31FA9" w:rsidRPr="00C7650D"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C7650D">
              <w:rPr>
                <w:rFonts w:ascii="Palatino Linotype" w:eastAsia="Times New Roman" w:hAnsi="Palatino Linotype"/>
                <w:b/>
                <w:bCs/>
                <w:color w:val="000000"/>
                <w:sz w:val="20"/>
                <w:szCs w:val="20"/>
              </w:rPr>
              <w:t>PG&amp;E</w:t>
            </w:r>
          </w:p>
        </w:tc>
        <w:tc>
          <w:tcPr>
            <w:tcW w:w="1792" w:type="dxa"/>
            <w:tcBorders>
              <w:top w:val="nil"/>
              <w:left w:val="single" w:sz="4" w:space="0" w:color="009999"/>
              <w:bottom w:val="single" w:sz="4" w:space="0" w:color="009999"/>
              <w:right w:val="nil"/>
            </w:tcBorders>
            <w:shd w:val="clear" w:color="000000" w:fill="F3FFFF"/>
            <w:vAlign w:val="center"/>
            <w:hideMark/>
          </w:tcPr>
          <w:p w14:paraId="3774F0EA" w14:textId="41C7133F"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$8,157,248</w:t>
            </w:r>
          </w:p>
        </w:tc>
        <w:tc>
          <w:tcPr>
            <w:tcW w:w="1792" w:type="dxa"/>
            <w:tcBorders>
              <w:top w:val="nil"/>
              <w:left w:val="nil"/>
              <w:bottom w:val="single" w:sz="4" w:space="0" w:color="009999"/>
              <w:right w:val="nil"/>
            </w:tcBorders>
            <w:shd w:val="clear" w:color="000000" w:fill="F3FFFF"/>
            <w:vAlign w:val="center"/>
            <w:hideMark/>
          </w:tcPr>
          <w:p w14:paraId="1C4B0F16" w14:textId="0E220C4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$3,731,710</w:t>
            </w:r>
          </w:p>
        </w:tc>
        <w:tc>
          <w:tcPr>
            <w:tcW w:w="1792" w:type="dxa"/>
            <w:tcBorders>
              <w:top w:val="nil"/>
              <w:left w:val="nil"/>
              <w:bottom w:val="single" w:sz="4" w:space="0" w:color="009999"/>
              <w:right w:val="single" w:sz="4" w:space="0" w:color="009999"/>
            </w:tcBorders>
            <w:shd w:val="clear" w:color="000000" w:fill="F3FFFF"/>
            <w:vAlign w:val="center"/>
            <w:hideMark/>
          </w:tcPr>
          <w:p w14:paraId="068E7CD0" w14:textId="0DE7106C"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$2,287,886</w:t>
            </w:r>
          </w:p>
        </w:tc>
        <w:tc>
          <w:tcPr>
            <w:tcW w:w="1792" w:type="dxa"/>
            <w:tcBorders>
              <w:top w:val="nil"/>
              <w:left w:val="single" w:sz="4" w:space="0" w:color="009999"/>
              <w:bottom w:val="single" w:sz="4" w:space="0" w:color="009999"/>
              <w:right w:val="nil"/>
            </w:tcBorders>
            <w:shd w:val="clear" w:color="000000" w:fill="F3FFFF"/>
            <w:vAlign w:val="center"/>
            <w:hideMark/>
          </w:tcPr>
          <w:p w14:paraId="2356E56C" w14:textId="2EB2EA32"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$14,176,845</w:t>
            </w:r>
          </w:p>
        </w:tc>
      </w:tr>
      <w:tr w:rsidR="00B31FA9" w:rsidRPr="00C7650D" w14:paraId="533BD04B" w14:textId="77777777" w:rsidTr="00652AF4">
        <w:trPr>
          <w:trHeight w:val="300"/>
          <w:jc w:val="center"/>
        </w:trPr>
        <w:tc>
          <w:tcPr>
            <w:tcW w:w="2192" w:type="dxa"/>
            <w:tcBorders>
              <w:top w:val="nil"/>
              <w:left w:val="nil"/>
              <w:bottom w:val="single" w:sz="4" w:space="0" w:color="009999"/>
              <w:right w:val="single" w:sz="4" w:space="0" w:color="009999"/>
            </w:tcBorders>
            <w:shd w:val="clear" w:color="auto" w:fill="auto"/>
            <w:vAlign w:val="center"/>
            <w:hideMark/>
          </w:tcPr>
          <w:p w14:paraId="006E73EE" w14:textId="77777777" w:rsidR="00B31FA9" w:rsidRPr="00C7650D"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C7650D">
              <w:rPr>
                <w:rFonts w:ascii="Palatino Linotype" w:eastAsia="Times New Roman" w:hAnsi="Palatino Linotype"/>
                <w:b/>
                <w:bCs/>
                <w:color w:val="000000"/>
                <w:sz w:val="20"/>
                <w:szCs w:val="20"/>
              </w:rPr>
              <w:t>SCE</w:t>
            </w:r>
          </w:p>
        </w:tc>
        <w:tc>
          <w:tcPr>
            <w:tcW w:w="1792" w:type="dxa"/>
            <w:tcBorders>
              <w:top w:val="nil"/>
              <w:left w:val="single" w:sz="4" w:space="0" w:color="009999"/>
              <w:bottom w:val="single" w:sz="4" w:space="0" w:color="009999"/>
              <w:right w:val="nil"/>
            </w:tcBorders>
            <w:shd w:val="clear" w:color="000000" w:fill="F3FFFF"/>
            <w:vAlign w:val="center"/>
            <w:hideMark/>
          </w:tcPr>
          <w:p w14:paraId="28622397" w14:textId="4D946BD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$7,033,712</w:t>
            </w:r>
          </w:p>
        </w:tc>
        <w:tc>
          <w:tcPr>
            <w:tcW w:w="1792" w:type="dxa"/>
            <w:tcBorders>
              <w:top w:val="nil"/>
              <w:left w:val="nil"/>
              <w:bottom w:val="single" w:sz="4" w:space="0" w:color="009999"/>
              <w:right w:val="nil"/>
            </w:tcBorders>
            <w:shd w:val="clear" w:color="000000" w:fill="F3FFFF"/>
            <w:vAlign w:val="center"/>
            <w:hideMark/>
          </w:tcPr>
          <w:p w14:paraId="57FC1F30" w14:textId="053162C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$2,907,608</w:t>
            </w:r>
          </w:p>
        </w:tc>
        <w:tc>
          <w:tcPr>
            <w:tcW w:w="1792" w:type="dxa"/>
            <w:tcBorders>
              <w:top w:val="nil"/>
              <w:left w:val="nil"/>
              <w:bottom w:val="single" w:sz="4" w:space="0" w:color="009999"/>
              <w:right w:val="single" w:sz="4" w:space="0" w:color="009999"/>
            </w:tcBorders>
            <w:shd w:val="clear" w:color="auto" w:fill="auto"/>
            <w:vAlign w:val="center"/>
            <w:hideMark/>
          </w:tcPr>
          <w:p w14:paraId="7E4556C7" w14:textId="52A7695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792" w:type="dxa"/>
            <w:tcBorders>
              <w:top w:val="single" w:sz="4" w:space="0" w:color="009999"/>
              <w:left w:val="single" w:sz="4" w:space="0" w:color="009999"/>
              <w:bottom w:val="single" w:sz="4" w:space="0" w:color="009999"/>
              <w:right w:val="nil"/>
            </w:tcBorders>
            <w:shd w:val="clear" w:color="000000" w:fill="F3FFFF"/>
            <w:vAlign w:val="center"/>
            <w:hideMark/>
          </w:tcPr>
          <w:p w14:paraId="451F0CD3" w14:textId="2C96202F"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$9,941,320</w:t>
            </w:r>
          </w:p>
        </w:tc>
      </w:tr>
      <w:tr w:rsidR="00B31FA9" w:rsidRPr="00C7650D" w14:paraId="4A3D1FE6" w14:textId="77777777" w:rsidTr="00652AF4">
        <w:trPr>
          <w:trHeight w:val="300"/>
          <w:jc w:val="center"/>
        </w:trPr>
        <w:tc>
          <w:tcPr>
            <w:tcW w:w="2192" w:type="dxa"/>
            <w:tcBorders>
              <w:top w:val="nil"/>
              <w:left w:val="nil"/>
              <w:bottom w:val="single" w:sz="4" w:space="0" w:color="009999"/>
              <w:right w:val="single" w:sz="4" w:space="0" w:color="009999"/>
            </w:tcBorders>
            <w:shd w:val="clear" w:color="auto" w:fill="auto"/>
            <w:vAlign w:val="center"/>
            <w:hideMark/>
          </w:tcPr>
          <w:p w14:paraId="38B2BEB0" w14:textId="77777777" w:rsidR="00B31FA9" w:rsidRPr="00C7650D"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C7650D">
              <w:rPr>
                <w:rFonts w:ascii="Palatino Linotype" w:eastAsia="Times New Roman" w:hAnsi="Palatino Linotype"/>
                <w:b/>
                <w:bCs/>
                <w:color w:val="000000"/>
                <w:sz w:val="20"/>
                <w:szCs w:val="20"/>
              </w:rPr>
              <w:t>SCG</w:t>
            </w:r>
          </w:p>
        </w:tc>
        <w:tc>
          <w:tcPr>
            <w:tcW w:w="1792" w:type="dxa"/>
            <w:tcBorders>
              <w:top w:val="nil"/>
              <w:left w:val="single" w:sz="4" w:space="0" w:color="009999"/>
              <w:bottom w:val="single" w:sz="4" w:space="0" w:color="009999"/>
              <w:right w:val="nil"/>
            </w:tcBorders>
            <w:shd w:val="clear" w:color="auto" w:fill="auto"/>
            <w:vAlign w:val="center"/>
            <w:hideMark/>
          </w:tcPr>
          <w:p w14:paraId="3C4A3FED" w14:textId="165D69A4"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792" w:type="dxa"/>
            <w:tcBorders>
              <w:top w:val="nil"/>
              <w:left w:val="nil"/>
              <w:bottom w:val="single" w:sz="4" w:space="0" w:color="009999"/>
              <w:right w:val="nil"/>
            </w:tcBorders>
            <w:shd w:val="clear" w:color="auto" w:fill="auto"/>
            <w:vAlign w:val="center"/>
            <w:hideMark/>
          </w:tcPr>
          <w:p w14:paraId="078346B6" w14:textId="18AA85C2"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792" w:type="dxa"/>
            <w:tcBorders>
              <w:top w:val="nil"/>
              <w:left w:val="nil"/>
              <w:bottom w:val="single" w:sz="4" w:space="0" w:color="009999"/>
              <w:right w:val="single" w:sz="4" w:space="0" w:color="009999"/>
            </w:tcBorders>
            <w:shd w:val="clear" w:color="000000" w:fill="F3FFFF"/>
            <w:vAlign w:val="center"/>
            <w:hideMark/>
          </w:tcPr>
          <w:p w14:paraId="523C5EE7" w14:textId="2A339A5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$1,988,692</w:t>
            </w:r>
          </w:p>
        </w:tc>
        <w:tc>
          <w:tcPr>
            <w:tcW w:w="1792" w:type="dxa"/>
            <w:tcBorders>
              <w:top w:val="single" w:sz="4" w:space="0" w:color="009999"/>
              <w:left w:val="single" w:sz="4" w:space="0" w:color="009999"/>
              <w:bottom w:val="single" w:sz="4" w:space="0" w:color="009999"/>
              <w:right w:val="nil"/>
            </w:tcBorders>
            <w:shd w:val="clear" w:color="000000" w:fill="F3FFFF"/>
            <w:vAlign w:val="center"/>
            <w:hideMark/>
          </w:tcPr>
          <w:p w14:paraId="711192E4" w14:textId="0F30B7B2"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$1,988,692</w:t>
            </w:r>
          </w:p>
        </w:tc>
      </w:tr>
      <w:tr w:rsidR="00B31FA9" w:rsidRPr="00C7650D" w14:paraId="479C0D31" w14:textId="77777777" w:rsidTr="00652AF4">
        <w:trPr>
          <w:trHeight w:val="300"/>
          <w:jc w:val="center"/>
        </w:trPr>
        <w:tc>
          <w:tcPr>
            <w:tcW w:w="2192" w:type="dxa"/>
            <w:tcBorders>
              <w:top w:val="nil"/>
              <w:left w:val="nil"/>
              <w:bottom w:val="single" w:sz="4" w:space="0" w:color="009999"/>
              <w:right w:val="single" w:sz="4" w:space="0" w:color="009999"/>
            </w:tcBorders>
            <w:shd w:val="clear" w:color="auto" w:fill="auto"/>
            <w:vAlign w:val="center"/>
            <w:hideMark/>
          </w:tcPr>
          <w:p w14:paraId="25FDAA20" w14:textId="77777777" w:rsidR="00B31FA9" w:rsidRPr="00C7650D"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C7650D">
              <w:rPr>
                <w:rFonts w:ascii="Palatino Linotype" w:eastAsia="Times New Roman" w:hAnsi="Palatino Linotype"/>
                <w:b/>
                <w:bCs/>
                <w:color w:val="000000"/>
                <w:sz w:val="20"/>
                <w:szCs w:val="20"/>
              </w:rPr>
              <w:t>SDG&amp;E</w:t>
            </w:r>
          </w:p>
        </w:tc>
        <w:tc>
          <w:tcPr>
            <w:tcW w:w="1792" w:type="dxa"/>
            <w:tcBorders>
              <w:top w:val="nil"/>
              <w:left w:val="single" w:sz="4" w:space="0" w:color="009999"/>
              <w:bottom w:val="single" w:sz="4" w:space="0" w:color="009999"/>
              <w:right w:val="nil"/>
            </w:tcBorders>
            <w:shd w:val="clear" w:color="000000" w:fill="F3FFFF"/>
            <w:vAlign w:val="center"/>
            <w:hideMark/>
          </w:tcPr>
          <w:p w14:paraId="0F7452DD" w14:textId="40566A9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$1,857,525</w:t>
            </w:r>
          </w:p>
        </w:tc>
        <w:tc>
          <w:tcPr>
            <w:tcW w:w="1792" w:type="dxa"/>
            <w:tcBorders>
              <w:top w:val="nil"/>
              <w:left w:val="nil"/>
              <w:bottom w:val="single" w:sz="4" w:space="0" w:color="009999"/>
              <w:right w:val="nil"/>
            </w:tcBorders>
            <w:shd w:val="clear" w:color="000000" w:fill="F3FFFF"/>
            <w:vAlign w:val="center"/>
            <w:hideMark/>
          </w:tcPr>
          <w:p w14:paraId="7C9B9577" w14:textId="23BA6DE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$834,859</w:t>
            </w:r>
          </w:p>
        </w:tc>
        <w:tc>
          <w:tcPr>
            <w:tcW w:w="1792" w:type="dxa"/>
            <w:tcBorders>
              <w:top w:val="nil"/>
              <w:left w:val="nil"/>
              <w:bottom w:val="single" w:sz="4" w:space="0" w:color="009999"/>
              <w:right w:val="single" w:sz="4" w:space="0" w:color="009999"/>
            </w:tcBorders>
            <w:shd w:val="clear" w:color="000000" w:fill="F3FFFF"/>
            <w:vAlign w:val="center"/>
            <w:hideMark/>
          </w:tcPr>
          <w:p w14:paraId="77C1E45F" w14:textId="6F3727AF"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$8,750</w:t>
            </w:r>
          </w:p>
        </w:tc>
        <w:tc>
          <w:tcPr>
            <w:tcW w:w="1792" w:type="dxa"/>
            <w:tcBorders>
              <w:top w:val="single" w:sz="4" w:space="0" w:color="009999"/>
              <w:left w:val="single" w:sz="4" w:space="0" w:color="009999"/>
              <w:bottom w:val="single" w:sz="4" w:space="0" w:color="009999"/>
              <w:right w:val="nil"/>
            </w:tcBorders>
            <w:shd w:val="clear" w:color="000000" w:fill="F3FFFF"/>
            <w:vAlign w:val="center"/>
            <w:hideMark/>
          </w:tcPr>
          <w:p w14:paraId="64631150" w14:textId="6ABD1D49"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$2,701,134</w:t>
            </w:r>
          </w:p>
        </w:tc>
      </w:tr>
      <w:tr w:rsidR="00B31FA9" w:rsidRPr="00C7650D" w14:paraId="264B2CF5" w14:textId="77777777" w:rsidTr="00652AF4">
        <w:trPr>
          <w:trHeight w:val="300"/>
          <w:jc w:val="center"/>
        </w:trPr>
        <w:tc>
          <w:tcPr>
            <w:tcW w:w="2192" w:type="dxa"/>
            <w:tcBorders>
              <w:top w:val="nil"/>
              <w:left w:val="nil"/>
              <w:bottom w:val="single" w:sz="4" w:space="0" w:color="009999"/>
              <w:right w:val="single" w:sz="4" w:space="0" w:color="009999"/>
            </w:tcBorders>
            <w:shd w:val="clear" w:color="auto" w:fill="auto"/>
            <w:vAlign w:val="center"/>
            <w:hideMark/>
          </w:tcPr>
          <w:p w14:paraId="48B2F68E" w14:textId="77777777" w:rsidR="00B31FA9" w:rsidRPr="00C7650D" w:rsidRDefault="00B31FA9" w:rsidP="00B31FA9">
            <w:pPr>
              <w:spacing w:after="0" w:line="240" w:lineRule="auto"/>
              <w:rPr>
                <w:rFonts w:ascii="Palatino Linotype" w:eastAsia="Times New Roman" w:hAnsi="Palatino Linotype"/>
                <w:b/>
                <w:bCs/>
                <w:color w:val="000000"/>
                <w:sz w:val="20"/>
                <w:szCs w:val="20"/>
              </w:rPr>
            </w:pPr>
            <w:r w:rsidRPr="00C7650D">
              <w:rPr>
                <w:rFonts w:ascii="Palatino Linotype" w:eastAsia="Times New Roman" w:hAnsi="Palatino Linotype"/>
                <w:b/>
                <w:bCs/>
                <w:color w:val="000000"/>
                <w:sz w:val="20"/>
                <w:szCs w:val="20"/>
              </w:rPr>
              <w:t>Total Statewide</w:t>
            </w:r>
          </w:p>
        </w:tc>
        <w:tc>
          <w:tcPr>
            <w:tcW w:w="1792" w:type="dxa"/>
            <w:tcBorders>
              <w:top w:val="nil"/>
              <w:left w:val="single" w:sz="4" w:space="0" w:color="009999"/>
              <w:bottom w:val="single" w:sz="4" w:space="0" w:color="009999"/>
              <w:right w:val="nil"/>
            </w:tcBorders>
            <w:shd w:val="clear" w:color="000000" w:fill="F3FFFF"/>
            <w:vAlign w:val="center"/>
            <w:hideMark/>
          </w:tcPr>
          <w:p w14:paraId="14A972B1" w14:textId="0B3DDAFC"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$17,048,486</w:t>
            </w:r>
          </w:p>
        </w:tc>
        <w:tc>
          <w:tcPr>
            <w:tcW w:w="1792" w:type="dxa"/>
            <w:tcBorders>
              <w:top w:val="nil"/>
              <w:left w:val="nil"/>
              <w:bottom w:val="single" w:sz="4" w:space="0" w:color="009999"/>
              <w:right w:val="nil"/>
            </w:tcBorders>
            <w:shd w:val="clear" w:color="000000" w:fill="F3FFFF"/>
            <w:vAlign w:val="center"/>
            <w:hideMark/>
          </w:tcPr>
          <w:p w14:paraId="43A1A041" w14:textId="1E07D76C"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$7,474,177</w:t>
            </w:r>
          </w:p>
        </w:tc>
        <w:tc>
          <w:tcPr>
            <w:tcW w:w="1792" w:type="dxa"/>
            <w:tcBorders>
              <w:top w:val="nil"/>
              <w:left w:val="nil"/>
              <w:bottom w:val="single" w:sz="4" w:space="0" w:color="009999"/>
              <w:right w:val="single" w:sz="4" w:space="0" w:color="009999"/>
            </w:tcBorders>
            <w:shd w:val="clear" w:color="000000" w:fill="F3FFFF"/>
            <w:vAlign w:val="center"/>
            <w:hideMark/>
          </w:tcPr>
          <w:p w14:paraId="2A8DC10B" w14:textId="07D2613D"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$4,285,328</w:t>
            </w:r>
          </w:p>
        </w:tc>
        <w:tc>
          <w:tcPr>
            <w:tcW w:w="1792" w:type="dxa"/>
            <w:tcBorders>
              <w:top w:val="single" w:sz="4" w:space="0" w:color="009999"/>
              <w:left w:val="single" w:sz="4" w:space="0" w:color="009999"/>
              <w:bottom w:val="single" w:sz="4" w:space="0" w:color="009999"/>
              <w:right w:val="nil"/>
            </w:tcBorders>
            <w:shd w:val="clear" w:color="000000" w:fill="F3FFFF"/>
            <w:vAlign w:val="center"/>
            <w:hideMark/>
          </w:tcPr>
          <w:p w14:paraId="1B339E43" w14:textId="0381D1A2"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$28,807,991</w:t>
            </w:r>
          </w:p>
        </w:tc>
      </w:tr>
    </w:tbl>
    <w:p w14:paraId="2D088AD2" w14:textId="77777777" w:rsidR="00C7650D" w:rsidRDefault="00C7650D" w:rsidP="00181EF9">
      <w:pPr>
        <w:ind w:left="720"/>
        <w:rPr>
          <w:rFonts w:ascii="Palatino Linotype" w:hAnsi="Palatino Linotype"/>
        </w:rPr>
      </w:pPr>
    </w:p>
    <w:p w14:paraId="3BC26FA2" w14:textId="755E1A19" w:rsidR="00237938" w:rsidRDefault="00237938" w:rsidP="005B173F">
      <w:pPr>
        <w:keepNext/>
        <w:keepLines/>
        <w:ind w:left="720"/>
        <w:jc w:val="both"/>
        <w:rPr>
          <w:rFonts w:ascii="Palatino Linotype" w:hAnsi="Palatino Linotype"/>
        </w:rPr>
      </w:pPr>
      <w:r>
        <w:rPr>
          <w:rFonts w:ascii="Palatino Linotype" w:hAnsi="Palatino Linotype"/>
        </w:rPr>
        <w:t>The earnings are</w:t>
      </w:r>
      <w:r w:rsidR="00816BCC">
        <w:rPr>
          <w:rFonts w:ascii="Palatino Linotype" w:hAnsi="Palatino Linotype"/>
        </w:rPr>
        <w:t xml:space="preserve"> based on the lifecycle net electric, demand, and natural gas savings for both deemed and custom measures</w:t>
      </w:r>
      <w:r w:rsidR="00C7650D">
        <w:rPr>
          <w:rFonts w:ascii="Palatino Linotype" w:hAnsi="Palatino Linotype"/>
        </w:rPr>
        <w:t xml:space="preserve">.  </w:t>
      </w:r>
      <w:r w:rsidR="00D778D2">
        <w:rPr>
          <w:rFonts w:ascii="Palatino Linotype" w:hAnsi="Palatino Linotype"/>
        </w:rPr>
        <w:t xml:space="preserve">In </w:t>
      </w:r>
      <w:r w:rsidR="00C7650D">
        <w:rPr>
          <w:rFonts w:ascii="Palatino Linotype" w:hAnsi="Palatino Linotype"/>
        </w:rPr>
        <w:t>Table 2</w:t>
      </w:r>
      <w:r w:rsidR="00FA2F19">
        <w:rPr>
          <w:rFonts w:ascii="Palatino Linotype" w:hAnsi="Palatino Linotype"/>
        </w:rPr>
        <w:t xml:space="preserve"> the ex-post lifecycle n</w:t>
      </w:r>
      <w:r w:rsidR="00C7650D">
        <w:rPr>
          <w:rFonts w:ascii="Palatino Linotype" w:hAnsi="Palatino Linotype"/>
        </w:rPr>
        <w:t xml:space="preserve">et savings values for </w:t>
      </w:r>
      <w:r w:rsidR="00FA2F19">
        <w:rPr>
          <w:rFonts w:ascii="Palatino Linotype" w:hAnsi="Palatino Linotype"/>
        </w:rPr>
        <w:t xml:space="preserve">both deemed and custom measures </w:t>
      </w:r>
      <w:r w:rsidR="00D778D2">
        <w:rPr>
          <w:rFonts w:ascii="Palatino Linotype" w:hAnsi="Palatino Linotype"/>
        </w:rPr>
        <w:t>are shown along with</w:t>
      </w:r>
      <w:r w:rsidR="00FA2F19">
        <w:rPr>
          <w:rFonts w:ascii="Palatino Linotype" w:hAnsi="Palatino Linotype"/>
        </w:rPr>
        <w:t xml:space="preserve"> how th</w:t>
      </w:r>
      <w:r w:rsidR="00D778D2">
        <w:rPr>
          <w:rFonts w:ascii="Palatino Linotype" w:hAnsi="Palatino Linotype"/>
        </w:rPr>
        <w:t>e savings</w:t>
      </w:r>
      <w:r w:rsidR="00FA2F19">
        <w:rPr>
          <w:rFonts w:ascii="Palatino Linotype" w:hAnsi="Palatino Linotype"/>
        </w:rPr>
        <w:t xml:space="preserve"> translates to the proposed </w:t>
      </w:r>
      <w:r w:rsidR="00FA2F19" w:rsidRPr="00E2321D">
        <w:rPr>
          <w:rFonts w:ascii="Palatino Linotype" w:hAnsi="Palatino Linotype"/>
        </w:rPr>
        <w:t>earnings amounts</w:t>
      </w:r>
      <w:r w:rsidR="00D778D2">
        <w:rPr>
          <w:rFonts w:ascii="Palatino Linotype" w:hAnsi="Palatino Linotype"/>
        </w:rPr>
        <w:t xml:space="preserve"> in</w:t>
      </w:r>
      <w:r w:rsidR="00882AF9">
        <w:rPr>
          <w:rFonts w:ascii="Palatino Linotype" w:hAnsi="Palatino Linotype"/>
        </w:rPr>
        <w:t xml:space="preserve"> Table 1.</w:t>
      </w:r>
    </w:p>
    <w:p w14:paraId="717B279E" w14:textId="77777777" w:rsidR="00104013" w:rsidRPr="00E2321D" w:rsidRDefault="00104013" w:rsidP="005B173F">
      <w:pPr>
        <w:keepNext/>
        <w:keepLines/>
        <w:ind w:left="720"/>
        <w:jc w:val="both"/>
        <w:rPr>
          <w:rFonts w:ascii="Palatino Linotype" w:hAnsi="Palatino Linotype"/>
        </w:rPr>
      </w:pPr>
    </w:p>
    <w:p w14:paraId="2D416F6C" w14:textId="2CE63AF4" w:rsidR="00816BCC" w:rsidRPr="00E2321D" w:rsidRDefault="00816BCC" w:rsidP="00816BCC">
      <w:pPr>
        <w:pStyle w:val="Caption"/>
        <w:keepNext/>
        <w:rPr>
          <w:rFonts w:ascii="Palatino Linotype" w:hAnsi="Palatino Linotype"/>
        </w:rPr>
      </w:pPr>
      <w:r w:rsidRPr="00E2321D">
        <w:rPr>
          <w:rFonts w:ascii="Palatino Linotype" w:hAnsi="Palatino Linotype"/>
        </w:rPr>
        <w:t xml:space="preserve">Table </w:t>
      </w:r>
      <w:r w:rsidR="00031217" w:rsidRPr="00E2321D">
        <w:rPr>
          <w:rFonts w:ascii="Palatino Linotype" w:hAnsi="Palatino Linotype"/>
        </w:rPr>
        <w:fldChar w:fldCharType="begin"/>
      </w:r>
      <w:r w:rsidR="00031217" w:rsidRPr="00E2321D">
        <w:rPr>
          <w:rFonts w:ascii="Palatino Linotype" w:hAnsi="Palatino Linotype"/>
        </w:rPr>
        <w:instrText xml:space="preserve"> SEQ Table \* ARABIC </w:instrText>
      </w:r>
      <w:r w:rsidR="00031217" w:rsidRPr="00E2321D">
        <w:rPr>
          <w:rFonts w:ascii="Palatino Linotype" w:hAnsi="Palatino Linotype"/>
        </w:rPr>
        <w:fldChar w:fldCharType="separate"/>
      </w:r>
      <w:r w:rsidR="00DD4114">
        <w:rPr>
          <w:rFonts w:ascii="Palatino Linotype" w:hAnsi="Palatino Linotype"/>
          <w:noProof/>
        </w:rPr>
        <w:t>2</w:t>
      </w:r>
      <w:r w:rsidR="00031217" w:rsidRPr="00E2321D">
        <w:rPr>
          <w:rFonts w:ascii="Palatino Linotype" w:hAnsi="Palatino Linotype"/>
          <w:noProof/>
        </w:rPr>
        <w:fldChar w:fldCharType="end"/>
      </w:r>
      <w:r w:rsidRPr="00E2321D">
        <w:rPr>
          <w:rFonts w:ascii="Palatino Linotype" w:hAnsi="Palatino Linotype"/>
        </w:rPr>
        <w:t xml:space="preserve"> - 2013 Ex-Post Savings</w:t>
      </w:r>
      <w:r w:rsidR="00444CFB" w:rsidRPr="00E2321D">
        <w:rPr>
          <w:rFonts w:ascii="Palatino Linotype" w:hAnsi="Palatino Linotype"/>
        </w:rPr>
        <w:t xml:space="preserve"> for Custom and Deemed</w:t>
      </w:r>
      <w:r w:rsidR="00D778D2">
        <w:rPr>
          <w:rFonts w:ascii="Palatino Linotype" w:hAnsi="Palatino Linotype"/>
        </w:rPr>
        <w:t xml:space="preserve"> by Utility</w:t>
      </w:r>
    </w:p>
    <w:tbl>
      <w:tblPr>
        <w:tblW w:w="9360" w:type="dxa"/>
        <w:tblLook w:val="04A0" w:firstRow="1" w:lastRow="0" w:firstColumn="1" w:lastColumn="0" w:noHBand="0" w:noVBand="1"/>
      </w:tblPr>
      <w:tblGrid>
        <w:gridCol w:w="3015"/>
        <w:gridCol w:w="1585"/>
        <w:gridCol w:w="1587"/>
        <w:gridCol w:w="1586"/>
        <w:gridCol w:w="1587"/>
      </w:tblGrid>
      <w:tr w:rsidR="00882AF9" w:rsidRPr="00444CFB" w14:paraId="3E04C94F" w14:textId="77777777" w:rsidTr="00652AF4">
        <w:trPr>
          <w:trHeight w:val="552"/>
          <w:tblHeader/>
        </w:trPr>
        <w:tc>
          <w:tcPr>
            <w:tcW w:w="3015" w:type="dxa"/>
            <w:tcBorders>
              <w:top w:val="single" w:sz="4" w:space="0" w:color="009999"/>
              <w:left w:val="nil"/>
              <w:bottom w:val="single" w:sz="4" w:space="0" w:color="009999"/>
              <w:right w:val="single" w:sz="4" w:space="0" w:color="009999"/>
            </w:tcBorders>
            <w:shd w:val="clear" w:color="auto" w:fill="auto"/>
            <w:vAlign w:val="center"/>
            <w:hideMark/>
          </w:tcPr>
          <w:p w14:paraId="69037C14" w14:textId="77777777" w:rsidR="00882AF9" w:rsidRPr="00444CFB" w:rsidRDefault="00882AF9" w:rsidP="00444CFB">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 </w:t>
            </w:r>
          </w:p>
        </w:tc>
        <w:tc>
          <w:tcPr>
            <w:tcW w:w="1585" w:type="dxa"/>
            <w:tcBorders>
              <w:top w:val="single" w:sz="4" w:space="0" w:color="009999"/>
              <w:left w:val="single" w:sz="4" w:space="0" w:color="009999"/>
              <w:bottom w:val="single" w:sz="4" w:space="0" w:color="009999"/>
              <w:right w:val="nil"/>
            </w:tcBorders>
            <w:shd w:val="clear" w:color="000000" w:fill="F3FFFF"/>
            <w:vAlign w:val="center"/>
            <w:hideMark/>
          </w:tcPr>
          <w:p w14:paraId="45BBEA80" w14:textId="77777777" w:rsidR="00882AF9" w:rsidRPr="00444CFB" w:rsidRDefault="00882AF9" w:rsidP="00444CFB">
            <w:pPr>
              <w:spacing w:after="0" w:line="240" w:lineRule="auto"/>
              <w:jc w:val="center"/>
              <w:rPr>
                <w:rFonts w:ascii="Palatino Linotype" w:eastAsia="Times New Roman" w:hAnsi="Palatino Linotype"/>
                <w:b/>
                <w:bCs/>
                <w:color w:val="000000"/>
                <w:sz w:val="18"/>
                <w:szCs w:val="18"/>
              </w:rPr>
            </w:pPr>
            <w:r w:rsidRPr="00444CFB">
              <w:rPr>
                <w:rFonts w:ascii="Palatino Linotype" w:eastAsia="Times New Roman" w:hAnsi="Palatino Linotype"/>
                <w:b/>
                <w:bCs/>
                <w:color w:val="000000"/>
                <w:sz w:val="18"/>
                <w:szCs w:val="18"/>
              </w:rPr>
              <w:t>Electric (GWh)</w:t>
            </w:r>
          </w:p>
        </w:tc>
        <w:tc>
          <w:tcPr>
            <w:tcW w:w="1587" w:type="dxa"/>
            <w:tcBorders>
              <w:top w:val="single" w:sz="4" w:space="0" w:color="009999"/>
              <w:left w:val="nil"/>
              <w:bottom w:val="single" w:sz="4" w:space="0" w:color="009999"/>
              <w:right w:val="nil"/>
            </w:tcBorders>
            <w:shd w:val="clear" w:color="000000" w:fill="F3FFFF"/>
            <w:vAlign w:val="center"/>
            <w:hideMark/>
          </w:tcPr>
          <w:p w14:paraId="5520052B" w14:textId="77777777" w:rsidR="00882AF9" w:rsidRPr="00444CFB" w:rsidRDefault="00882AF9" w:rsidP="00444CFB">
            <w:pPr>
              <w:spacing w:after="0" w:line="240" w:lineRule="auto"/>
              <w:jc w:val="center"/>
              <w:rPr>
                <w:rFonts w:ascii="Palatino Linotype" w:eastAsia="Times New Roman" w:hAnsi="Palatino Linotype"/>
                <w:b/>
                <w:bCs/>
                <w:color w:val="000000"/>
                <w:sz w:val="18"/>
                <w:szCs w:val="18"/>
              </w:rPr>
            </w:pPr>
            <w:r w:rsidRPr="00444CFB">
              <w:rPr>
                <w:rFonts w:ascii="Palatino Linotype" w:eastAsia="Times New Roman" w:hAnsi="Palatino Linotype"/>
                <w:b/>
                <w:bCs/>
                <w:color w:val="000000"/>
                <w:sz w:val="18"/>
                <w:szCs w:val="18"/>
              </w:rPr>
              <w:t>Demand (MW)</w:t>
            </w:r>
          </w:p>
        </w:tc>
        <w:tc>
          <w:tcPr>
            <w:tcW w:w="1586" w:type="dxa"/>
            <w:tcBorders>
              <w:top w:val="single" w:sz="4" w:space="0" w:color="009999"/>
              <w:left w:val="nil"/>
              <w:bottom w:val="single" w:sz="4" w:space="0" w:color="009999"/>
              <w:right w:val="nil"/>
            </w:tcBorders>
            <w:shd w:val="clear" w:color="000000" w:fill="F3FFFF"/>
            <w:vAlign w:val="center"/>
            <w:hideMark/>
          </w:tcPr>
          <w:p w14:paraId="48732633" w14:textId="77777777" w:rsidR="00882AF9" w:rsidRPr="00444CFB" w:rsidRDefault="00882AF9" w:rsidP="00444CFB">
            <w:pPr>
              <w:spacing w:after="0" w:line="240" w:lineRule="auto"/>
              <w:jc w:val="center"/>
              <w:rPr>
                <w:rFonts w:ascii="Palatino Linotype" w:eastAsia="Times New Roman" w:hAnsi="Palatino Linotype"/>
                <w:b/>
                <w:bCs/>
                <w:color w:val="000000"/>
                <w:sz w:val="18"/>
                <w:szCs w:val="18"/>
              </w:rPr>
            </w:pPr>
            <w:r w:rsidRPr="00444CFB">
              <w:rPr>
                <w:rFonts w:ascii="Palatino Linotype" w:eastAsia="Times New Roman" w:hAnsi="Palatino Linotype"/>
                <w:b/>
                <w:bCs/>
                <w:color w:val="000000"/>
                <w:sz w:val="18"/>
                <w:szCs w:val="18"/>
              </w:rPr>
              <w:t>Natural Gas (MM Therms)</w:t>
            </w:r>
          </w:p>
        </w:tc>
        <w:tc>
          <w:tcPr>
            <w:tcW w:w="1587" w:type="dxa"/>
            <w:tcBorders>
              <w:top w:val="single" w:sz="4" w:space="0" w:color="009999"/>
              <w:left w:val="nil"/>
              <w:bottom w:val="single" w:sz="4" w:space="0" w:color="009999"/>
              <w:right w:val="nil"/>
            </w:tcBorders>
            <w:shd w:val="clear" w:color="000000" w:fill="F3FFFF"/>
            <w:vAlign w:val="center"/>
            <w:hideMark/>
          </w:tcPr>
          <w:p w14:paraId="048D5BBB" w14:textId="77777777" w:rsidR="00882AF9" w:rsidRPr="00444CFB" w:rsidRDefault="00882AF9" w:rsidP="00444CFB">
            <w:pPr>
              <w:spacing w:after="0" w:line="240" w:lineRule="auto"/>
              <w:jc w:val="center"/>
              <w:rPr>
                <w:rFonts w:ascii="Palatino Linotype" w:eastAsia="Times New Roman" w:hAnsi="Palatino Linotype"/>
                <w:b/>
                <w:bCs/>
                <w:color w:val="000000"/>
                <w:sz w:val="18"/>
                <w:szCs w:val="18"/>
              </w:rPr>
            </w:pPr>
            <w:r w:rsidRPr="00444CFB">
              <w:rPr>
                <w:rFonts w:ascii="Palatino Linotype" w:eastAsia="Times New Roman" w:hAnsi="Palatino Linotype"/>
                <w:b/>
                <w:bCs/>
                <w:color w:val="000000"/>
                <w:sz w:val="18"/>
                <w:szCs w:val="18"/>
              </w:rPr>
              <w:t>Total</w:t>
            </w:r>
          </w:p>
        </w:tc>
      </w:tr>
      <w:tr w:rsidR="00882AF9" w:rsidRPr="00444CFB" w14:paraId="74692018"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4E2F6301" w14:textId="7982A7A3" w:rsidR="00882AF9" w:rsidRPr="00444CFB" w:rsidRDefault="00882AF9" w:rsidP="00882AF9">
            <w:pPr>
              <w:spacing w:after="0" w:line="240" w:lineRule="auto"/>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PG&amp;E</w:t>
            </w:r>
          </w:p>
        </w:tc>
        <w:tc>
          <w:tcPr>
            <w:tcW w:w="1585" w:type="dxa"/>
            <w:tcBorders>
              <w:top w:val="nil"/>
              <w:left w:val="single" w:sz="4" w:space="0" w:color="009999"/>
              <w:bottom w:val="single" w:sz="4" w:space="0" w:color="009999"/>
              <w:right w:val="nil"/>
            </w:tcBorders>
            <w:shd w:val="clear" w:color="000000" w:fill="F3FFFF"/>
            <w:vAlign w:val="center"/>
            <w:hideMark/>
          </w:tcPr>
          <w:p w14:paraId="0AF5F016" w14:textId="77777777" w:rsidR="00882AF9" w:rsidRPr="00444CFB" w:rsidRDefault="00882AF9" w:rsidP="00444CFB">
            <w:pPr>
              <w:spacing w:after="0" w:line="240" w:lineRule="auto"/>
              <w:ind w:firstLineChars="100" w:firstLine="200"/>
              <w:jc w:val="right"/>
              <w:rPr>
                <w:rFonts w:ascii="Palatino Linotype" w:eastAsia="Times New Roman" w:hAnsi="Palatino Linotype"/>
                <w:color w:val="000000"/>
                <w:sz w:val="20"/>
                <w:szCs w:val="20"/>
              </w:rPr>
            </w:pPr>
            <w:r w:rsidRPr="00444CFB">
              <w:rPr>
                <w:rFonts w:ascii="Palatino Linotype" w:eastAsia="Times New Roman" w:hAnsi="Palatino Linotype"/>
                <w:color w:val="000000"/>
                <w:sz w:val="20"/>
                <w:szCs w:val="20"/>
              </w:rPr>
              <w:t> </w:t>
            </w:r>
          </w:p>
        </w:tc>
        <w:tc>
          <w:tcPr>
            <w:tcW w:w="1587" w:type="dxa"/>
            <w:tcBorders>
              <w:top w:val="nil"/>
              <w:left w:val="nil"/>
              <w:bottom w:val="single" w:sz="4" w:space="0" w:color="009999"/>
              <w:right w:val="nil"/>
            </w:tcBorders>
            <w:shd w:val="clear" w:color="000000" w:fill="F3FFFF"/>
            <w:vAlign w:val="center"/>
            <w:hideMark/>
          </w:tcPr>
          <w:p w14:paraId="180843DA" w14:textId="77777777" w:rsidR="00882AF9" w:rsidRPr="00444CFB" w:rsidRDefault="00882AF9" w:rsidP="00444CFB">
            <w:pPr>
              <w:spacing w:after="0" w:line="240" w:lineRule="auto"/>
              <w:ind w:firstLineChars="100" w:firstLine="200"/>
              <w:jc w:val="right"/>
              <w:rPr>
                <w:rFonts w:ascii="Palatino Linotype" w:eastAsia="Times New Roman" w:hAnsi="Palatino Linotype"/>
                <w:color w:val="000000"/>
                <w:sz w:val="20"/>
                <w:szCs w:val="20"/>
              </w:rPr>
            </w:pPr>
            <w:r w:rsidRPr="00444CFB">
              <w:rPr>
                <w:rFonts w:ascii="Palatino Linotype" w:eastAsia="Times New Roman" w:hAnsi="Palatino Linotype"/>
                <w:color w:val="000000"/>
                <w:sz w:val="20"/>
                <w:szCs w:val="20"/>
              </w:rPr>
              <w:t> </w:t>
            </w:r>
          </w:p>
        </w:tc>
        <w:tc>
          <w:tcPr>
            <w:tcW w:w="1586" w:type="dxa"/>
            <w:tcBorders>
              <w:top w:val="nil"/>
              <w:left w:val="nil"/>
              <w:bottom w:val="single" w:sz="4" w:space="0" w:color="009999"/>
              <w:right w:val="nil"/>
            </w:tcBorders>
            <w:shd w:val="clear" w:color="000000" w:fill="F3FFFF"/>
            <w:vAlign w:val="center"/>
            <w:hideMark/>
          </w:tcPr>
          <w:p w14:paraId="101FBD18" w14:textId="77777777" w:rsidR="00882AF9" w:rsidRPr="00444CFB" w:rsidRDefault="00882AF9" w:rsidP="00444CFB">
            <w:pPr>
              <w:spacing w:after="0" w:line="240" w:lineRule="auto"/>
              <w:ind w:firstLineChars="100" w:firstLine="200"/>
              <w:jc w:val="right"/>
              <w:rPr>
                <w:rFonts w:ascii="Palatino Linotype" w:eastAsia="Times New Roman" w:hAnsi="Palatino Linotype"/>
                <w:color w:val="000000"/>
                <w:sz w:val="20"/>
                <w:szCs w:val="20"/>
              </w:rPr>
            </w:pPr>
            <w:r w:rsidRPr="00444CFB">
              <w:rPr>
                <w:rFonts w:ascii="Palatino Linotype" w:eastAsia="Times New Roman" w:hAnsi="Palatino Linotype"/>
                <w:color w:val="000000"/>
                <w:sz w:val="20"/>
                <w:szCs w:val="20"/>
              </w:rPr>
              <w:t> </w:t>
            </w:r>
          </w:p>
        </w:tc>
        <w:tc>
          <w:tcPr>
            <w:tcW w:w="1587" w:type="dxa"/>
            <w:tcBorders>
              <w:top w:val="nil"/>
              <w:left w:val="nil"/>
              <w:bottom w:val="single" w:sz="4" w:space="0" w:color="009999"/>
              <w:right w:val="nil"/>
            </w:tcBorders>
            <w:shd w:val="clear" w:color="000000" w:fill="F3FFFF"/>
            <w:vAlign w:val="center"/>
            <w:hideMark/>
          </w:tcPr>
          <w:p w14:paraId="2CA5EC5B" w14:textId="77777777" w:rsidR="00882AF9" w:rsidRPr="00444CFB" w:rsidRDefault="00882AF9" w:rsidP="00444CFB">
            <w:pPr>
              <w:spacing w:after="0" w:line="240" w:lineRule="auto"/>
              <w:ind w:firstLineChars="100" w:firstLine="200"/>
              <w:jc w:val="right"/>
              <w:rPr>
                <w:rFonts w:ascii="Palatino Linotype" w:eastAsia="Times New Roman" w:hAnsi="Palatino Linotype"/>
                <w:color w:val="000000"/>
                <w:sz w:val="20"/>
                <w:szCs w:val="20"/>
              </w:rPr>
            </w:pPr>
            <w:r w:rsidRPr="00444CFB">
              <w:rPr>
                <w:rFonts w:ascii="Palatino Linotype" w:eastAsia="Times New Roman" w:hAnsi="Palatino Linotype"/>
                <w:color w:val="000000"/>
                <w:sz w:val="20"/>
                <w:szCs w:val="20"/>
              </w:rPr>
              <w:t> </w:t>
            </w:r>
          </w:p>
        </w:tc>
      </w:tr>
      <w:tr w:rsidR="00B31FA9" w:rsidRPr="00444CFB" w14:paraId="456B5504"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48031DBA"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ExPost (LC Net) Deemed</w:t>
            </w:r>
          </w:p>
        </w:tc>
        <w:tc>
          <w:tcPr>
            <w:tcW w:w="1585" w:type="dxa"/>
            <w:tcBorders>
              <w:top w:val="nil"/>
              <w:left w:val="single" w:sz="4" w:space="0" w:color="009999"/>
              <w:bottom w:val="single" w:sz="4" w:space="0" w:color="009999"/>
              <w:right w:val="nil"/>
            </w:tcBorders>
            <w:shd w:val="clear" w:color="000000" w:fill="F3FFFF"/>
            <w:vAlign w:val="center"/>
            <w:hideMark/>
          </w:tcPr>
          <w:p w14:paraId="3A9834D9" w14:textId="0A4CF6D7"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1,072</w:t>
            </w:r>
          </w:p>
        </w:tc>
        <w:tc>
          <w:tcPr>
            <w:tcW w:w="1587" w:type="dxa"/>
            <w:tcBorders>
              <w:top w:val="nil"/>
              <w:left w:val="nil"/>
              <w:bottom w:val="single" w:sz="4" w:space="0" w:color="009999"/>
              <w:right w:val="nil"/>
            </w:tcBorders>
            <w:shd w:val="clear" w:color="000000" w:fill="F3FFFF"/>
            <w:vAlign w:val="center"/>
            <w:hideMark/>
          </w:tcPr>
          <w:p w14:paraId="7C304D15" w14:textId="1A10ABE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266</w:t>
            </w:r>
          </w:p>
        </w:tc>
        <w:tc>
          <w:tcPr>
            <w:tcW w:w="1586" w:type="dxa"/>
            <w:tcBorders>
              <w:top w:val="nil"/>
              <w:left w:val="nil"/>
              <w:bottom w:val="single" w:sz="4" w:space="0" w:color="009999"/>
              <w:right w:val="nil"/>
            </w:tcBorders>
            <w:shd w:val="clear" w:color="000000" w:fill="F3FFFF"/>
            <w:vAlign w:val="center"/>
            <w:hideMark/>
          </w:tcPr>
          <w:p w14:paraId="640A202E" w14:textId="51F6F3F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-5</w:t>
            </w:r>
          </w:p>
        </w:tc>
        <w:tc>
          <w:tcPr>
            <w:tcW w:w="1587" w:type="dxa"/>
            <w:tcBorders>
              <w:top w:val="nil"/>
              <w:left w:val="nil"/>
              <w:bottom w:val="single" w:sz="4" w:space="0" w:color="009999"/>
              <w:right w:val="nil"/>
            </w:tcBorders>
            <w:shd w:val="clear" w:color="000000" w:fill="F3FFFF"/>
            <w:vAlign w:val="center"/>
            <w:hideMark/>
          </w:tcPr>
          <w:p w14:paraId="738160CC" w14:textId="09FA658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07162130"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16BAA271" w14:textId="55891ABD"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Pr>
                <w:rFonts w:ascii="Palatino Linotype" w:eastAsia="Times New Roman" w:hAnsi="Palatino Linotype"/>
                <w:b/>
                <w:bCs/>
                <w:color w:val="000000"/>
                <w:sz w:val="20"/>
                <w:szCs w:val="20"/>
              </w:rPr>
              <w:t>ExPost (LC Net)</w:t>
            </w:r>
            <w:r w:rsidRPr="00444CFB">
              <w:rPr>
                <w:rFonts w:ascii="Palatino Linotype" w:eastAsia="Times New Roman" w:hAnsi="Palatino Linotype"/>
                <w:b/>
                <w:bCs/>
                <w:color w:val="000000"/>
                <w:sz w:val="20"/>
                <w:szCs w:val="20"/>
              </w:rPr>
              <w:t xml:space="preserve"> Custom</w:t>
            </w:r>
          </w:p>
        </w:tc>
        <w:tc>
          <w:tcPr>
            <w:tcW w:w="1585" w:type="dxa"/>
            <w:tcBorders>
              <w:top w:val="nil"/>
              <w:left w:val="single" w:sz="4" w:space="0" w:color="009999"/>
              <w:bottom w:val="single" w:sz="4" w:space="0" w:color="009999"/>
              <w:right w:val="nil"/>
            </w:tcBorders>
            <w:shd w:val="clear" w:color="000000" w:fill="F3FFFF"/>
            <w:vAlign w:val="center"/>
            <w:hideMark/>
          </w:tcPr>
          <w:p w14:paraId="10F677E2" w14:textId="73A1ACB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2,158</w:t>
            </w:r>
          </w:p>
        </w:tc>
        <w:tc>
          <w:tcPr>
            <w:tcW w:w="1587" w:type="dxa"/>
            <w:tcBorders>
              <w:top w:val="nil"/>
              <w:left w:val="nil"/>
              <w:bottom w:val="single" w:sz="4" w:space="0" w:color="009999"/>
              <w:right w:val="nil"/>
            </w:tcBorders>
            <w:shd w:val="clear" w:color="000000" w:fill="F3FFFF"/>
            <w:vAlign w:val="center"/>
            <w:hideMark/>
          </w:tcPr>
          <w:p w14:paraId="5A61E0BB" w14:textId="683C4CE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336</w:t>
            </w:r>
          </w:p>
        </w:tc>
        <w:tc>
          <w:tcPr>
            <w:tcW w:w="1586" w:type="dxa"/>
            <w:tcBorders>
              <w:top w:val="nil"/>
              <w:left w:val="nil"/>
              <w:bottom w:val="single" w:sz="4" w:space="0" w:color="009999"/>
              <w:right w:val="nil"/>
            </w:tcBorders>
            <w:shd w:val="clear" w:color="000000" w:fill="F3FFFF"/>
            <w:vAlign w:val="center"/>
            <w:hideMark/>
          </w:tcPr>
          <w:p w14:paraId="77F758A5" w14:textId="005E6A50"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113</w:t>
            </w:r>
          </w:p>
        </w:tc>
        <w:tc>
          <w:tcPr>
            <w:tcW w:w="1587" w:type="dxa"/>
            <w:tcBorders>
              <w:top w:val="nil"/>
              <w:left w:val="nil"/>
              <w:bottom w:val="single" w:sz="4" w:space="0" w:color="009999"/>
              <w:right w:val="nil"/>
            </w:tcBorders>
            <w:shd w:val="clear" w:color="000000" w:fill="F3FFFF"/>
            <w:vAlign w:val="center"/>
            <w:hideMark/>
          </w:tcPr>
          <w:p w14:paraId="6710B5AA" w14:textId="41212FFE"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58D1B7AF"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6CBC2BA2" w14:textId="5AF2BD7E"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Total ExPost LC</w:t>
            </w:r>
            <w:r>
              <w:rPr>
                <w:rFonts w:ascii="Palatino Linotype" w:eastAsia="Times New Roman" w:hAnsi="Palatino Linotype"/>
                <w:b/>
                <w:bCs/>
                <w:color w:val="000000"/>
                <w:sz w:val="20"/>
                <w:szCs w:val="20"/>
              </w:rPr>
              <w:t xml:space="preserve"> </w:t>
            </w:r>
            <w:r w:rsidRPr="00444CFB">
              <w:rPr>
                <w:rFonts w:ascii="Palatino Linotype" w:eastAsia="Times New Roman" w:hAnsi="Palatino Linotype"/>
                <w:b/>
                <w:bCs/>
                <w:color w:val="000000"/>
                <w:sz w:val="20"/>
                <w:szCs w:val="20"/>
              </w:rPr>
              <w:t>Net</w:t>
            </w:r>
          </w:p>
        </w:tc>
        <w:tc>
          <w:tcPr>
            <w:tcW w:w="1585" w:type="dxa"/>
            <w:tcBorders>
              <w:top w:val="nil"/>
              <w:left w:val="single" w:sz="4" w:space="0" w:color="009999"/>
              <w:bottom w:val="single" w:sz="4" w:space="0" w:color="009999"/>
              <w:right w:val="nil"/>
            </w:tcBorders>
            <w:shd w:val="clear" w:color="000000" w:fill="F3FFFF"/>
            <w:vAlign w:val="center"/>
            <w:hideMark/>
          </w:tcPr>
          <w:p w14:paraId="09E2CCBB" w14:textId="3CD11B54"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3,231</w:t>
            </w:r>
          </w:p>
        </w:tc>
        <w:tc>
          <w:tcPr>
            <w:tcW w:w="1587" w:type="dxa"/>
            <w:tcBorders>
              <w:top w:val="nil"/>
              <w:left w:val="nil"/>
              <w:bottom w:val="single" w:sz="4" w:space="0" w:color="009999"/>
              <w:right w:val="nil"/>
            </w:tcBorders>
            <w:shd w:val="clear" w:color="000000" w:fill="F3FFFF"/>
            <w:vAlign w:val="center"/>
            <w:hideMark/>
          </w:tcPr>
          <w:p w14:paraId="5CD4E48B" w14:textId="0176E7D4"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602</w:t>
            </w:r>
          </w:p>
        </w:tc>
        <w:tc>
          <w:tcPr>
            <w:tcW w:w="1586" w:type="dxa"/>
            <w:tcBorders>
              <w:top w:val="nil"/>
              <w:left w:val="nil"/>
              <w:bottom w:val="single" w:sz="4" w:space="0" w:color="009999"/>
              <w:right w:val="nil"/>
            </w:tcBorders>
            <w:shd w:val="clear" w:color="000000" w:fill="F3FFFF"/>
            <w:vAlign w:val="center"/>
            <w:hideMark/>
          </w:tcPr>
          <w:p w14:paraId="6E5094B1" w14:textId="5AB31951"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107</w:t>
            </w:r>
          </w:p>
        </w:tc>
        <w:tc>
          <w:tcPr>
            <w:tcW w:w="1587" w:type="dxa"/>
            <w:tcBorders>
              <w:top w:val="nil"/>
              <w:left w:val="nil"/>
              <w:bottom w:val="single" w:sz="4" w:space="0" w:color="009999"/>
              <w:right w:val="nil"/>
            </w:tcBorders>
            <w:shd w:val="clear" w:color="000000" w:fill="F3FFFF"/>
            <w:vAlign w:val="center"/>
            <w:hideMark/>
          </w:tcPr>
          <w:p w14:paraId="24652F3B" w14:textId="23DF2AD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6E0C34F5"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6073D834"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Earnings Rate</w:t>
            </w:r>
          </w:p>
        </w:tc>
        <w:tc>
          <w:tcPr>
            <w:tcW w:w="1585" w:type="dxa"/>
            <w:tcBorders>
              <w:top w:val="nil"/>
              <w:left w:val="single" w:sz="4" w:space="0" w:color="009999"/>
              <w:bottom w:val="single" w:sz="4" w:space="0" w:color="009999"/>
              <w:right w:val="nil"/>
            </w:tcBorders>
            <w:shd w:val="clear" w:color="000000" w:fill="F3FFFF"/>
            <w:vAlign w:val="center"/>
            <w:hideMark/>
          </w:tcPr>
          <w:p w14:paraId="573A1EE7" w14:textId="6F69C466"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$2,525</w:t>
            </w:r>
          </w:p>
        </w:tc>
        <w:tc>
          <w:tcPr>
            <w:tcW w:w="1587" w:type="dxa"/>
            <w:tcBorders>
              <w:top w:val="nil"/>
              <w:left w:val="nil"/>
              <w:bottom w:val="single" w:sz="4" w:space="0" w:color="009999"/>
              <w:right w:val="nil"/>
            </w:tcBorders>
            <w:shd w:val="clear" w:color="000000" w:fill="F3FFFF"/>
            <w:vAlign w:val="center"/>
            <w:hideMark/>
          </w:tcPr>
          <w:p w14:paraId="6BC06B51" w14:textId="725F853E"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$6,200</w:t>
            </w:r>
          </w:p>
        </w:tc>
        <w:tc>
          <w:tcPr>
            <w:tcW w:w="1586" w:type="dxa"/>
            <w:tcBorders>
              <w:top w:val="nil"/>
              <w:left w:val="nil"/>
              <w:bottom w:val="single" w:sz="4" w:space="0" w:color="009999"/>
              <w:right w:val="nil"/>
            </w:tcBorders>
            <w:shd w:val="clear" w:color="000000" w:fill="F3FFFF"/>
            <w:vAlign w:val="center"/>
            <w:hideMark/>
          </w:tcPr>
          <w:p w14:paraId="4FE1F5BD" w14:textId="4B5D43B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$21,331</w:t>
            </w:r>
          </w:p>
        </w:tc>
        <w:tc>
          <w:tcPr>
            <w:tcW w:w="1587" w:type="dxa"/>
            <w:tcBorders>
              <w:top w:val="nil"/>
              <w:left w:val="nil"/>
              <w:bottom w:val="single" w:sz="4" w:space="0" w:color="009999"/>
              <w:right w:val="nil"/>
            </w:tcBorders>
            <w:shd w:val="clear" w:color="000000" w:fill="F3FFFF"/>
            <w:vAlign w:val="center"/>
            <w:hideMark/>
          </w:tcPr>
          <w:p w14:paraId="2A9D427B" w14:textId="53FAF781"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18C9FC3A" w14:textId="77777777" w:rsidTr="00652AF4">
        <w:trPr>
          <w:trHeight w:val="300"/>
        </w:trPr>
        <w:tc>
          <w:tcPr>
            <w:tcW w:w="3015" w:type="dxa"/>
            <w:tcBorders>
              <w:top w:val="single" w:sz="4" w:space="0" w:color="009999"/>
              <w:left w:val="nil"/>
              <w:bottom w:val="single" w:sz="8" w:space="0" w:color="000000" w:themeColor="text1"/>
              <w:right w:val="single" w:sz="4" w:space="0" w:color="009999"/>
            </w:tcBorders>
            <w:shd w:val="clear" w:color="auto" w:fill="auto"/>
            <w:vAlign w:val="center"/>
            <w:hideMark/>
          </w:tcPr>
          <w:p w14:paraId="12C2D7F4"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Payment</w:t>
            </w:r>
          </w:p>
        </w:tc>
        <w:tc>
          <w:tcPr>
            <w:tcW w:w="1585" w:type="dxa"/>
            <w:tcBorders>
              <w:top w:val="single" w:sz="4" w:space="0" w:color="009999"/>
              <w:left w:val="single" w:sz="4" w:space="0" w:color="009999"/>
              <w:bottom w:val="single" w:sz="8" w:space="0" w:color="000000" w:themeColor="text1"/>
              <w:right w:val="nil"/>
            </w:tcBorders>
            <w:shd w:val="clear" w:color="000000" w:fill="F3FFFF"/>
            <w:vAlign w:val="center"/>
            <w:hideMark/>
          </w:tcPr>
          <w:p w14:paraId="57E36363" w14:textId="3D053C3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$8,157,248</w:t>
            </w:r>
          </w:p>
        </w:tc>
        <w:tc>
          <w:tcPr>
            <w:tcW w:w="1587" w:type="dxa"/>
            <w:tcBorders>
              <w:top w:val="single" w:sz="4" w:space="0" w:color="009999"/>
              <w:left w:val="nil"/>
              <w:bottom w:val="single" w:sz="8" w:space="0" w:color="000000" w:themeColor="text1"/>
              <w:right w:val="nil"/>
            </w:tcBorders>
            <w:shd w:val="clear" w:color="000000" w:fill="F3FFFF"/>
            <w:vAlign w:val="center"/>
            <w:hideMark/>
          </w:tcPr>
          <w:p w14:paraId="4968AC33" w14:textId="23E5F90F"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$3,731,710</w:t>
            </w:r>
          </w:p>
        </w:tc>
        <w:tc>
          <w:tcPr>
            <w:tcW w:w="1586" w:type="dxa"/>
            <w:tcBorders>
              <w:top w:val="single" w:sz="4" w:space="0" w:color="009999"/>
              <w:left w:val="nil"/>
              <w:bottom w:val="single" w:sz="8" w:space="0" w:color="000000" w:themeColor="text1"/>
              <w:right w:val="nil"/>
            </w:tcBorders>
            <w:shd w:val="clear" w:color="000000" w:fill="F3FFFF"/>
            <w:vAlign w:val="center"/>
            <w:hideMark/>
          </w:tcPr>
          <w:p w14:paraId="4FA2F532" w14:textId="6870EF70"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$2,287,886</w:t>
            </w:r>
          </w:p>
        </w:tc>
        <w:tc>
          <w:tcPr>
            <w:tcW w:w="1587" w:type="dxa"/>
            <w:tcBorders>
              <w:top w:val="single" w:sz="4" w:space="0" w:color="009999"/>
              <w:left w:val="nil"/>
              <w:bottom w:val="single" w:sz="8" w:space="0" w:color="000000" w:themeColor="text1"/>
              <w:right w:val="nil"/>
            </w:tcBorders>
            <w:shd w:val="clear" w:color="000000" w:fill="F3FFFF"/>
            <w:vAlign w:val="center"/>
            <w:hideMark/>
          </w:tcPr>
          <w:p w14:paraId="39A562BF" w14:textId="10796667"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$14,176,845</w:t>
            </w:r>
          </w:p>
        </w:tc>
      </w:tr>
      <w:tr w:rsidR="00B31FA9" w:rsidRPr="00444CFB" w14:paraId="21A647C6" w14:textId="77777777" w:rsidTr="00652AF4">
        <w:trPr>
          <w:trHeight w:val="300"/>
        </w:trPr>
        <w:tc>
          <w:tcPr>
            <w:tcW w:w="3015" w:type="dxa"/>
            <w:tcBorders>
              <w:top w:val="single" w:sz="8" w:space="0" w:color="000000" w:themeColor="text1"/>
              <w:left w:val="nil"/>
              <w:bottom w:val="single" w:sz="4" w:space="0" w:color="009999"/>
              <w:right w:val="single" w:sz="4" w:space="0" w:color="009999"/>
            </w:tcBorders>
            <w:shd w:val="clear" w:color="auto" w:fill="auto"/>
            <w:vAlign w:val="center"/>
            <w:hideMark/>
          </w:tcPr>
          <w:p w14:paraId="38847AFB" w14:textId="77504F99" w:rsidR="00B31FA9" w:rsidRPr="00444CFB" w:rsidRDefault="00B31FA9" w:rsidP="00B31FA9">
            <w:pPr>
              <w:spacing w:after="0" w:line="240" w:lineRule="auto"/>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SCE </w:t>
            </w:r>
          </w:p>
        </w:tc>
        <w:tc>
          <w:tcPr>
            <w:tcW w:w="1585" w:type="dxa"/>
            <w:tcBorders>
              <w:top w:val="single" w:sz="8" w:space="0" w:color="000000" w:themeColor="text1"/>
              <w:left w:val="single" w:sz="4" w:space="0" w:color="009999"/>
              <w:bottom w:val="single" w:sz="4" w:space="0" w:color="009999"/>
              <w:right w:val="nil"/>
            </w:tcBorders>
            <w:shd w:val="clear" w:color="000000" w:fill="F3FFFF"/>
            <w:vAlign w:val="center"/>
            <w:hideMark/>
          </w:tcPr>
          <w:p w14:paraId="4D6EBD7C" w14:textId="1C5A3DA2"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7" w:type="dxa"/>
            <w:tcBorders>
              <w:top w:val="single" w:sz="8" w:space="0" w:color="000000" w:themeColor="text1"/>
              <w:left w:val="nil"/>
              <w:bottom w:val="single" w:sz="4" w:space="0" w:color="009999"/>
              <w:right w:val="nil"/>
            </w:tcBorders>
            <w:shd w:val="clear" w:color="000000" w:fill="F3FFFF"/>
            <w:vAlign w:val="center"/>
            <w:hideMark/>
          </w:tcPr>
          <w:p w14:paraId="2C6810C5" w14:textId="4CFB3CE1"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6" w:type="dxa"/>
            <w:tcBorders>
              <w:top w:val="single" w:sz="8" w:space="0" w:color="000000" w:themeColor="text1"/>
              <w:left w:val="nil"/>
              <w:bottom w:val="single" w:sz="4" w:space="0" w:color="009999"/>
              <w:right w:val="nil"/>
            </w:tcBorders>
            <w:shd w:val="clear" w:color="000000" w:fill="F3FFFF"/>
            <w:vAlign w:val="center"/>
            <w:hideMark/>
          </w:tcPr>
          <w:p w14:paraId="2F581D6D" w14:textId="5D5B5316"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7" w:type="dxa"/>
            <w:tcBorders>
              <w:top w:val="single" w:sz="8" w:space="0" w:color="000000" w:themeColor="text1"/>
              <w:left w:val="nil"/>
              <w:bottom w:val="single" w:sz="4" w:space="0" w:color="009999"/>
              <w:right w:val="nil"/>
            </w:tcBorders>
            <w:shd w:val="clear" w:color="000000" w:fill="F3FFFF"/>
            <w:vAlign w:val="center"/>
            <w:hideMark/>
          </w:tcPr>
          <w:p w14:paraId="626D997D" w14:textId="138F5A8C"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418C06E3" w14:textId="77777777" w:rsidTr="00F6438F">
        <w:trPr>
          <w:cantSplit/>
          <w:trHeight w:val="300"/>
        </w:trPr>
        <w:tc>
          <w:tcPr>
            <w:tcW w:w="3015" w:type="dxa"/>
            <w:tcBorders>
              <w:top w:val="nil"/>
              <w:left w:val="nil"/>
              <w:bottom w:val="single" w:sz="4" w:space="0" w:color="009999"/>
              <w:right w:val="single" w:sz="4" w:space="0" w:color="009999"/>
            </w:tcBorders>
            <w:shd w:val="clear" w:color="auto" w:fill="auto"/>
            <w:vAlign w:val="center"/>
            <w:hideMark/>
          </w:tcPr>
          <w:p w14:paraId="6C9BF20B"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ExPost (LC Net) Deemed</w:t>
            </w:r>
          </w:p>
        </w:tc>
        <w:tc>
          <w:tcPr>
            <w:tcW w:w="1585" w:type="dxa"/>
            <w:tcBorders>
              <w:top w:val="nil"/>
              <w:left w:val="single" w:sz="4" w:space="0" w:color="009999"/>
              <w:bottom w:val="single" w:sz="4" w:space="0" w:color="009999"/>
              <w:right w:val="nil"/>
            </w:tcBorders>
            <w:shd w:val="clear" w:color="000000" w:fill="F3FFFF"/>
            <w:vAlign w:val="center"/>
            <w:hideMark/>
          </w:tcPr>
          <w:p w14:paraId="35A17EBE" w14:textId="4D51D31A"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1,417</w:t>
            </w:r>
          </w:p>
        </w:tc>
        <w:tc>
          <w:tcPr>
            <w:tcW w:w="1587" w:type="dxa"/>
            <w:tcBorders>
              <w:top w:val="nil"/>
              <w:left w:val="nil"/>
              <w:bottom w:val="single" w:sz="4" w:space="0" w:color="009999"/>
              <w:right w:val="nil"/>
            </w:tcBorders>
            <w:shd w:val="clear" w:color="000000" w:fill="F3FFFF"/>
            <w:vAlign w:val="center"/>
            <w:hideMark/>
          </w:tcPr>
          <w:p w14:paraId="0F881B6A" w14:textId="7A55B01E"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230</w:t>
            </w:r>
          </w:p>
        </w:tc>
        <w:tc>
          <w:tcPr>
            <w:tcW w:w="1586" w:type="dxa"/>
            <w:tcBorders>
              <w:top w:val="nil"/>
              <w:left w:val="nil"/>
              <w:bottom w:val="single" w:sz="4" w:space="0" w:color="009999"/>
              <w:right w:val="nil"/>
            </w:tcBorders>
            <w:shd w:val="clear" w:color="000000" w:fill="F3FFFF"/>
            <w:vAlign w:val="center"/>
            <w:hideMark/>
          </w:tcPr>
          <w:p w14:paraId="7390638F" w14:textId="25BCF564"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-17</w:t>
            </w:r>
          </w:p>
        </w:tc>
        <w:tc>
          <w:tcPr>
            <w:tcW w:w="1587" w:type="dxa"/>
            <w:tcBorders>
              <w:top w:val="nil"/>
              <w:left w:val="nil"/>
              <w:bottom w:val="single" w:sz="4" w:space="0" w:color="009999"/>
              <w:right w:val="nil"/>
            </w:tcBorders>
            <w:shd w:val="clear" w:color="000000" w:fill="F3FFFF"/>
            <w:vAlign w:val="center"/>
            <w:hideMark/>
          </w:tcPr>
          <w:p w14:paraId="05484BAE" w14:textId="5D1EB2A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292E836E" w14:textId="77777777" w:rsidTr="00F6438F">
        <w:trPr>
          <w:cantSplit/>
          <w:trHeight w:val="300"/>
        </w:trPr>
        <w:tc>
          <w:tcPr>
            <w:tcW w:w="3015" w:type="dxa"/>
            <w:tcBorders>
              <w:top w:val="nil"/>
              <w:left w:val="nil"/>
              <w:bottom w:val="single" w:sz="4" w:space="0" w:color="009999"/>
              <w:right w:val="single" w:sz="4" w:space="0" w:color="009999"/>
            </w:tcBorders>
            <w:shd w:val="clear" w:color="auto" w:fill="auto"/>
            <w:vAlign w:val="center"/>
            <w:hideMark/>
          </w:tcPr>
          <w:p w14:paraId="3FAE9250" w14:textId="6054198E"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Pr>
                <w:rFonts w:ascii="Palatino Linotype" w:eastAsia="Times New Roman" w:hAnsi="Palatino Linotype"/>
                <w:b/>
                <w:bCs/>
                <w:color w:val="000000"/>
                <w:sz w:val="20"/>
                <w:szCs w:val="20"/>
              </w:rPr>
              <w:t xml:space="preserve">ExPost (LC Net) </w:t>
            </w:r>
            <w:r w:rsidRPr="00444CFB">
              <w:rPr>
                <w:rFonts w:ascii="Palatino Linotype" w:eastAsia="Times New Roman" w:hAnsi="Palatino Linotype"/>
                <w:b/>
                <w:bCs/>
                <w:color w:val="000000"/>
                <w:sz w:val="20"/>
                <w:szCs w:val="20"/>
              </w:rPr>
              <w:t>Custom</w:t>
            </w:r>
          </w:p>
        </w:tc>
        <w:tc>
          <w:tcPr>
            <w:tcW w:w="1585" w:type="dxa"/>
            <w:tcBorders>
              <w:top w:val="nil"/>
              <w:left w:val="single" w:sz="4" w:space="0" w:color="009999"/>
              <w:bottom w:val="single" w:sz="4" w:space="0" w:color="009999"/>
              <w:right w:val="nil"/>
            </w:tcBorders>
            <w:shd w:val="clear" w:color="000000" w:fill="F3FFFF"/>
            <w:vAlign w:val="center"/>
            <w:hideMark/>
          </w:tcPr>
          <w:p w14:paraId="272FDB49" w14:textId="5007CBE2"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1,369</w:t>
            </w:r>
          </w:p>
        </w:tc>
        <w:tc>
          <w:tcPr>
            <w:tcW w:w="1587" w:type="dxa"/>
            <w:tcBorders>
              <w:top w:val="nil"/>
              <w:left w:val="nil"/>
              <w:bottom w:val="single" w:sz="4" w:space="0" w:color="009999"/>
              <w:right w:val="nil"/>
            </w:tcBorders>
            <w:shd w:val="clear" w:color="000000" w:fill="F3FFFF"/>
            <w:vAlign w:val="center"/>
            <w:hideMark/>
          </w:tcPr>
          <w:p w14:paraId="71FC3949" w14:textId="760050D7"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239</w:t>
            </w:r>
          </w:p>
        </w:tc>
        <w:tc>
          <w:tcPr>
            <w:tcW w:w="1586" w:type="dxa"/>
            <w:tcBorders>
              <w:top w:val="nil"/>
              <w:left w:val="nil"/>
              <w:bottom w:val="single" w:sz="4" w:space="0" w:color="009999"/>
              <w:right w:val="nil"/>
            </w:tcBorders>
            <w:shd w:val="clear" w:color="000000" w:fill="F3FFFF"/>
            <w:vAlign w:val="center"/>
            <w:hideMark/>
          </w:tcPr>
          <w:p w14:paraId="742EA771" w14:textId="421F10B4"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3</w:t>
            </w:r>
          </w:p>
        </w:tc>
        <w:tc>
          <w:tcPr>
            <w:tcW w:w="1587" w:type="dxa"/>
            <w:tcBorders>
              <w:top w:val="nil"/>
              <w:left w:val="nil"/>
              <w:bottom w:val="single" w:sz="4" w:space="0" w:color="009999"/>
              <w:right w:val="nil"/>
            </w:tcBorders>
            <w:shd w:val="clear" w:color="000000" w:fill="F3FFFF"/>
            <w:vAlign w:val="center"/>
            <w:hideMark/>
          </w:tcPr>
          <w:p w14:paraId="3CDA990E" w14:textId="3CD0B1FE"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7127C6D4" w14:textId="77777777" w:rsidTr="00F6438F">
        <w:trPr>
          <w:cantSplit/>
          <w:trHeight w:val="300"/>
        </w:trPr>
        <w:tc>
          <w:tcPr>
            <w:tcW w:w="3015" w:type="dxa"/>
            <w:tcBorders>
              <w:top w:val="nil"/>
              <w:left w:val="nil"/>
              <w:bottom w:val="single" w:sz="4" w:space="0" w:color="009999"/>
              <w:right w:val="single" w:sz="4" w:space="0" w:color="009999"/>
            </w:tcBorders>
            <w:shd w:val="clear" w:color="auto" w:fill="auto"/>
            <w:vAlign w:val="center"/>
            <w:hideMark/>
          </w:tcPr>
          <w:p w14:paraId="38096D84" w14:textId="1D5EDA8B"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lastRenderedPageBreak/>
              <w:t>Total ExPost LC</w:t>
            </w:r>
            <w:r>
              <w:rPr>
                <w:rFonts w:ascii="Palatino Linotype" w:eastAsia="Times New Roman" w:hAnsi="Palatino Linotype"/>
                <w:b/>
                <w:bCs/>
                <w:color w:val="000000"/>
                <w:sz w:val="20"/>
                <w:szCs w:val="20"/>
              </w:rPr>
              <w:t xml:space="preserve"> </w:t>
            </w:r>
            <w:r w:rsidRPr="00444CFB">
              <w:rPr>
                <w:rFonts w:ascii="Palatino Linotype" w:eastAsia="Times New Roman" w:hAnsi="Palatino Linotype"/>
                <w:b/>
                <w:bCs/>
                <w:color w:val="000000"/>
                <w:sz w:val="20"/>
                <w:szCs w:val="20"/>
              </w:rPr>
              <w:t>Net</w:t>
            </w:r>
          </w:p>
        </w:tc>
        <w:tc>
          <w:tcPr>
            <w:tcW w:w="1585" w:type="dxa"/>
            <w:tcBorders>
              <w:top w:val="nil"/>
              <w:left w:val="single" w:sz="4" w:space="0" w:color="009999"/>
              <w:bottom w:val="single" w:sz="4" w:space="0" w:color="009999"/>
              <w:right w:val="nil"/>
            </w:tcBorders>
            <w:shd w:val="clear" w:color="000000" w:fill="F3FFFF"/>
            <w:vAlign w:val="center"/>
            <w:hideMark/>
          </w:tcPr>
          <w:p w14:paraId="5CBB3F23" w14:textId="6A5BC1A8"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2,786</w:t>
            </w:r>
          </w:p>
        </w:tc>
        <w:tc>
          <w:tcPr>
            <w:tcW w:w="1587" w:type="dxa"/>
            <w:tcBorders>
              <w:top w:val="nil"/>
              <w:left w:val="nil"/>
              <w:bottom w:val="single" w:sz="4" w:space="0" w:color="009999"/>
              <w:right w:val="nil"/>
            </w:tcBorders>
            <w:shd w:val="clear" w:color="000000" w:fill="F3FFFF"/>
            <w:vAlign w:val="center"/>
            <w:hideMark/>
          </w:tcPr>
          <w:p w14:paraId="167207EB" w14:textId="5EFC0A8E"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469</w:t>
            </w:r>
          </w:p>
        </w:tc>
        <w:tc>
          <w:tcPr>
            <w:tcW w:w="1586" w:type="dxa"/>
            <w:tcBorders>
              <w:top w:val="nil"/>
              <w:left w:val="nil"/>
              <w:bottom w:val="single" w:sz="4" w:space="0" w:color="009999"/>
              <w:right w:val="nil"/>
            </w:tcBorders>
            <w:shd w:val="clear" w:color="000000" w:fill="F3FFFF"/>
            <w:vAlign w:val="center"/>
            <w:hideMark/>
          </w:tcPr>
          <w:p w14:paraId="2FA692EC" w14:textId="2971C770"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0</w:t>
            </w:r>
          </w:p>
        </w:tc>
        <w:tc>
          <w:tcPr>
            <w:tcW w:w="1587" w:type="dxa"/>
            <w:tcBorders>
              <w:top w:val="nil"/>
              <w:left w:val="nil"/>
              <w:bottom w:val="single" w:sz="4" w:space="0" w:color="009999"/>
              <w:right w:val="nil"/>
            </w:tcBorders>
            <w:shd w:val="clear" w:color="000000" w:fill="F3FFFF"/>
            <w:vAlign w:val="center"/>
            <w:hideMark/>
          </w:tcPr>
          <w:p w14:paraId="245F2554" w14:textId="0CFCD81A"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6593A017" w14:textId="77777777" w:rsidTr="00F6438F">
        <w:trPr>
          <w:cantSplit/>
          <w:trHeight w:val="300"/>
        </w:trPr>
        <w:tc>
          <w:tcPr>
            <w:tcW w:w="3015" w:type="dxa"/>
            <w:tcBorders>
              <w:top w:val="nil"/>
              <w:left w:val="nil"/>
              <w:bottom w:val="single" w:sz="4" w:space="0" w:color="009999"/>
              <w:right w:val="single" w:sz="4" w:space="0" w:color="009999"/>
            </w:tcBorders>
            <w:shd w:val="clear" w:color="auto" w:fill="auto"/>
            <w:vAlign w:val="center"/>
            <w:hideMark/>
          </w:tcPr>
          <w:p w14:paraId="0C0B3F08"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Earnings Rate</w:t>
            </w:r>
          </w:p>
        </w:tc>
        <w:tc>
          <w:tcPr>
            <w:tcW w:w="1585" w:type="dxa"/>
            <w:tcBorders>
              <w:top w:val="nil"/>
              <w:left w:val="single" w:sz="4" w:space="0" w:color="009999"/>
              <w:bottom w:val="single" w:sz="4" w:space="0" w:color="009999"/>
              <w:right w:val="nil"/>
            </w:tcBorders>
            <w:shd w:val="clear" w:color="000000" w:fill="F3FFFF"/>
            <w:vAlign w:val="center"/>
            <w:hideMark/>
          </w:tcPr>
          <w:p w14:paraId="267DD29A" w14:textId="6BD66A2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$2,525</w:t>
            </w:r>
          </w:p>
        </w:tc>
        <w:tc>
          <w:tcPr>
            <w:tcW w:w="1587" w:type="dxa"/>
            <w:tcBorders>
              <w:top w:val="nil"/>
              <w:left w:val="nil"/>
              <w:bottom w:val="single" w:sz="4" w:space="0" w:color="009999"/>
              <w:right w:val="nil"/>
            </w:tcBorders>
            <w:shd w:val="clear" w:color="000000" w:fill="F3FFFF"/>
            <w:vAlign w:val="center"/>
            <w:hideMark/>
          </w:tcPr>
          <w:p w14:paraId="4405165E" w14:textId="3312EF8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$6,200</w:t>
            </w:r>
          </w:p>
        </w:tc>
        <w:tc>
          <w:tcPr>
            <w:tcW w:w="1586" w:type="dxa"/>
            <w:tcBorders>
              <w:top w:val="nil"/>
              <w:left w:val="nil"/>
              <w:bottom w:val="single" w:sz="4" w:space="0" w:color="009999"/>
              <w:right w:val="nil"/>
            </w:tcBorders>
            <w:shd w:val="clear" w:color="000000" w:fill="F3FFFF"/>
            <w:vAlign w:val="center"/>
            <w:hideMark/>
          </w:tcPr>
          <w:p w14:paraId="1237E560" w14:textId="4805120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$21,331</w:t>
            </w:r>
          </w:p>
        </w:tc>
        <w:tc>
          <w:tcPr>
            <w:tcW w:w="1587" w:type="dxa"/>
            <w:tcBorders>
              <w:top w:val="nil"/>
              <w:left w:val="nil"/>
              <w:bottom w:val="single" w:sz="4" w:space="0" w:color="009999"/>
              <w:right w:val="nil"/>
            </w:tcBorders>
            <w:shd w:val="clear" w:color="000000" w:fill="F3FFFF"/>
            <w:vAlign w:val="center"/>
            <w:hideMark/>
          </w:tcPr>
          <w:p w14:paraId="05674375" w14:textId="0591C2F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3CEA36BE" w14:textId="77777777" w:rsidTr="00652AF4">
        <w:trPr>
          <w:trHeight w:val="300"/>
        </w:trPr>
        <w:tc>
          <w:tcPr>
            <w:tcW w:w="3015" w:type="dxa"/>
            <w:tcBorders>
              <w:top w:val="single" w:sz="4" w:space="0" w:color="009999"/>
              <w:left w:val="nil"/>
              <w:bottom w:val="single" w:sz="8" w:space="0" w:color="auto"/>
              <w:right w:val="single" w:sz="4" w:space="0" w:color="009999"/>
            </w:tcBorders>
            <w:shd w:val="clear" w:color="auto" w:fill="auto"/>
            <w:vAlign w:val="center"/>
            <w:hideMark/>
          </w:tcPr>
          <w:p w14:paraId="7C9DA5D0"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Payment</w:t>
            </w:r>
          </w:p>
        </w:tc>
        <w:tc>
          <w:tcPr>
            <w:tcW w:w="1585" w:type="dxa"/>
            <w:tcBorders>
              <w:top w:val="single" w:sz="4" w:space="0" w:color="009999"/>
              <w:left w:val="single" w:sz="4" w:space="0" w:color="009999"/>
              <w:bottom w:val="single" w:sz="8" w:space="0" w:color="auto"/>
              <w:right w:val="nil"/>
            </w:tcBorders>
            <w:shd w:val="clear" w:color="000000" w:fill="F3FFFF"/>
            <w:vAlign w:val="center"/>
            <w:hideMark/>
          </w:tcPr>
          <w:p w14:paraId="46EF05FD" w14:textId="0B37F75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$7,033,712</w:t>
            </w:r>
          </w:p>
        </w:tc>
        <w:tc>
          <w:tcPr>
            <w:tcW w:w="1587" w:type="dxa"/>
            <w:tcBorders>
              <w:top w:val="single" w:sz="4" w:space="0" w:color="009999"/>
              <w:left w:val="nil"/>
              <w:bottom w:val="single" w:sz="8" w:space="0" w:color="auto"/>
              <w:right w:val="nil"/>
            </w:tcBorders>
            <w:shd w:val="clear" w:color="000000" w:fill="F3FFFF"/>
            <w:vAlign w:val="center"/>
            <w:hideMark/>
          </w:tcPr>
          <w:p w14:paraId="5AC58443" w14:textId="25E79557"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$2,907,608</w:t>
            </w:r>
          </w:p>
        </w:tc>
        <w:tc>
          <w:tcPr>
            <w:tcW w:w="1586" w:type="dxa"/>
            <w:tcBorders>
              <w:top w:val="single" w:sz="4" w:space="0" w:color="009999"/>
              <w:left w:val="nil"/>
              <w:bottom w:val="single" w:sz="8" w:space="0" w:color="auto"/>
              <w:right w:val="nil"/>
            </w:tcBorders>
            <w:shd w:val="clear" w:color="000000" w:fill="F3FFFF"/>
            <w:vAlign w:val="center"/>
            <w:hideMark/>
          </w:tcPr>
          <w:p w14:paraId="666FF7DF" w14:textId="3096ABE6"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N/A</w:t>
            </w:r>
          </w:p>
        </w:tc>
        <w:tc>
          <w:tcPr>
            <w:tcW w:w="1587" w:type="dxa"/>
            <w:tcBorders>
              <w:top w:val="single" w:sz="4" w:space="0" w:color="009999"/>
              <w:left w:val="nil"/>
              <w:bottom w:val="single" w:sz="8" w:space="0" w:color="auto"/>
              <w:right w:val="nil"/>
            </w:tcBorders>
            <w:shd w:val="clear" w:color="000000" w:fill="F3FFFF"/>
            <w:vAlign w:val="center"/>
            <w:hideMark/>
          </w:tcPr>
          <w:p w14:paraId="708517AD" w14:textId="7898A777"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$9,941,320</w:t>
            </w:r>
          </w:p>
        </w:tc>
      </w:tr>
      <w:tr w:rsidR="00B31FA9" w:rsidRPr="00444CFB" w14:paraId="7EFB372A" w14:textId="77777777" w:rsidTr="00652AF4">
        <w:trPr>
          <w:trHeight w:val="300"/>
        </w:trPr>
        <w:tc>
          <w:tcPr>
            <w:tcW w:w="3015" w:type="dxa"/>
            <w:tcBorders>
              <w:top w:val="single" w:sz="8" w:space="0" w:color="auto"/>
              <w:left w:val="nil"/>
              <w:bottom w:val="single" w:sz="4" w:space="0" w:color="009999"/>
              <w:right w:val="single" w:sz="4" w:space="0" w:color="009999"/>
            </w:tcBorders>
            <w:shd w:val="clear" w:color="auto" w:fill="auto"/>
            <w:vAlign w:val="center"/>
            <w:hideMark/>
          </w:tcPr>
          <w:p w14:paraId="22222B57" w14:textId="1CFA8D5D" w:rsidR="00B31FA9" w:rsidRPr="00444CFB" w:rsidRDefault="00B31FA9" w:rsidP="00B31FA9">
            <w:pPr>
              <w:spacing w:after="0" w:line="240" w:lineRule="auto"/>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SCG</w:t>
            </w:r>
          </w:p>
        </w:tc>
        <w:tc>
          <w:tcPr>
            <w:tcW w:w="1585" w:type="dxa"/>
            <w:tcBorders>
              <w:top w:val="single" w:sz="8" w:space="0" w:color="auto"/>
              <w:left w:val="single" w:sz="4" w:space="0" w:color="009999"/>
              <w:bottom w:val="single" w:sz="4" w:space="0" w:color="009999"/>
              <w:right w:val="nil"/>
            </w:tcBorders>
            <w:shd w:val="clear" w:color="000000" w:fill="F3FFFF"/>
            <w:vAlign w:val="center"/>
            <w:hideMark/>
          </w:tcPr>
          <w:p w14:paraId="13E56D05" w14:textId="135D6FC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7" w:type="dxa"/>
            <w:tcBorders>
              <w:top w:val="single" w:sz="8" w:space="0" w:color="auto"/>
              <w:left w:val="nil"/>
              <w:bottom w:val="single" w:sz="4" w:space="0" w:color="009999"/>
              <w:right w:val="nil"/>
            </w:tcBorders>
            <w:shd w:val="clear" w:color="000000" w:fill="F3FFFF"/>
            <w:vAlign w:val="center"/>
            <w:hideMark/>
          </w:tcPr>
          <w:p w14:paraId="63941475" w14:textId="0296D0C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6" w:type="dxa"/>
            <w:tcBorders>
              <w:top w:val="single" w:sz="8" w:space="0" w:color="auto"/>
              <w:left w:val="nil"/>
              <w:bottom w:val="single" w:sz="4" w:space="0" w:color="009999"/>
              <w:right w:val="nil"/>
            </w:tcBorders>
            <w:shd w:val="clear" w:color="000000" w:fill="F3FFFF"/>
            <w:vAlign w:val="center"/>
            <w:hideMark/>
          </w:tcPr>
          <w:p w14:paraId="42E1BCD2" w14:textId="6ED4632B"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7" w:type="dxa"/>
            <w:tcBorders>
              <w:top w:val="single" w:sz="8" w:space="0" w:color="auto"/>
              <w:left w:val="nil"/>
              <w:bottom w:val="single" w:sz="4" w:space="0" w:color="009999"/>
              <w:right w:val="nil"/>
            </w:tcBorders>
            <w:shd w:val="clear" w:color="000000" w:fill="F3FFFF"/>
            <w:vAlign w:val="center"/>
            <w:hideMark/>
          </w:tcPr>
          <w:p w14:paraId="6915A8D7" w14:textId="64ED52A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5D050CAC"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7FF6E73D"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ExPost (LC Net) Deemed</w:t>
            </w:r>
          </w:p>
        </w:tc>
        <w:tc>
          <w:tcPr>
            <w:tcW w:w="1585" w:type="dxa"/>
            <w:tcBorders>
              <w:top w:val="nil"/>
              <w:left w:val="single" w:sz="4" w:space="0" w:color="009999"/>
              <w:bottom w:val="single" w:sz="4" w:space="0" w:color="009999"/>
              <w:right w:val="nil"/>
            </w:tcBorders>
            <w:shd w:val="clear" w:color="000000" w:fill="F3FFFF"/>
            <w:vAlign w:val="center"/>
            <w:hideMark/>
          </w:tcPr>
          <w:p w14:paraId="3E11FC68" w14:textId="3114AA34"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0</w:t>
            </w:r>
          </w:p>
        </w:tc>
        <w:tc>
          <w:tcPr>
            <w:tcW w:w="1587" w:type="dxa"/>
            <w:tcBorders>
              <w:top w:val="nil"/>
              <w:left w:val="nil"/>
              <w:bottom w:val="single" w:sz="4" w:space="0" w:color="009999"/>
              <w:right w:val="nil"/>
            </w:tcBorders>
            <w:shd w:val="clear" w:color="000000" w:fill="F3FFFF"/>
            <w:vAlign w:val="center"/>
            <w:hideMark/>
          </w:tcPr>
          <w:p w14:paraId="530CF553" w14:textId="21BEF0F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0</w:t>
            </w:r>
          </w:p>
        </w:tc>
        <w:tc>
          <w:tcPr>
            <w:tcW w:w="1586" w:type="dxa"/>
            <w:tcBorders>
              <w:top w:val="nil"/>
              <w:left w:val="nil"/>
              <w:bottom w:val="single" w:sz="4" w:space="0" w:color="009999"/>
              <w:right w:val="nil"/>
            </w:tcBorders>
            <w:shd w:val="clear" w:color="000000" w:fill="F3FFFF"/>
            <w:vAlign w:val="center"/>
            <w:hideMark/>
          </w:tcPr>
          <w:p w14:paraId="332C5F4C" w14:textId="0870CEEA"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18</w:t>
            </w:r>
          </w:p>
        </w:tc>
        <w:tc>
          <w:tcPr>
            <w:tcW w:w="1587" w:type="dxa"/>
            <w:tcBorders>
              <w:top w:val="nil"/>
              <w:left w:val="nil"/>
              <w:bottom w:val="single" w:sz="4" w:space="0" w:color="009999"/>
              <w:right w:val="nil"/>
            </w:tcBorders>
            <w:shd w:val="clear" w:color="000000" w:fill="F3FFFF"/>
            <w:vAlign w:val="center"/>
            <w:hideMark/>
          </w:tcPr>
          <w:p w14:paraId="4850C0E6" w14:textId="6ABE9E0A"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75A987BC"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6CADB70F" w14:textId="34F43604"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ExPost (LC Net) Custom</w:t>
            </w:r>
          </w:p>
        </w:tc>
        <w:tc>
          <w:tcPr>
            <w:tcW w:w="1585" w:type="dxa"/>
            <w:tcBorders>
              <w:top w:val="nil"/>
              <w:left w:val="single" w:sz="4" w:space="0" w:color="009999"/>
              <w:bottom w:val="single" w:sz="4" w:space="0" w:color="009999"/>
              <w:right w:val="nil"/>
            </w:tcBorders>
            <w:shd w:val="clear" w:color="000000" w:fill="F3FFFF"/>
            <w:vAlign w:val="center"/>
            <w:hideMark/>
          </w:tcPr>
          <w:p w14:paraId="5F54BDCC" w14:textId="021E0A02"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13</w:t>
            </w:r>
          </w:p>
        </w:tc>
        <w:tc>
          <w:tcPr>
            <w:tcW w:w="1587" w:type="dxa"/>
            <w:tcBorders>
              <w:top w:val="nil"/>
              <w:left w:val="nil"/>
              <w:bottom w:val="single" w:sz="4" w:space="0" w:color="009999"/>
              <w:right w:val="nil"/>
            </w:tcBorders>
            <w:shd w:val="clear" w:color="000000" w:fill="F3FFFF"/>
            <w:vAlign w:val="center"/>
            <w:hideMark/>
          </w:tcPr>
          <w:p w14:paraId="510224FB" w14:textId="274D1305"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13</w:t>
            </w:r>
          </w:p>
        </w:tc>
        <w:tc>
          <w:tcPr>
            <w:tcW w:w="1586" w:type="dxa"/>
            <w:tcBorders>
              <w:top w:val="nil"/>
              <w:left w:val="nil"/>
              <w:bottom w:val="single" w:sz="4" w:space="0" w:color="009999"/>
              <w:right w:val="nil"/>
            </w:tcBorders>
            <w:shd w:val="clear" w:color="000000" w:fill="F3FFFF"/>
            <w:vAlign w:val="center"/>
            <w:hideMark/>
          </w:tcPr>
          <w:p w14:paraId="5A51A446" w14:textId="5EDC924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76</w:t>
            </w:r>
          </w:p>
        </w:tc>
        <w:tc>
          <w:tcPr>
            <w:tcW w:w="1587" w:type="dxa"/>
            <w:tcBorders>
              <w:top w:val="nil"/>
              <w:left w:val="nil"/>
              <w:bottom w:val="single" w:sz="4" w:space="0" w:color="009999"/>
              <w:right w:val="nil"/>
            </w:tcBorders>
            <w:shd w:val="clear" w:color="000000" w:fill="F3FFFF"/>
            <w:vAlign w:val="center"/>
            <w:hideMark/>
          </w:tcPr>
          <w:p w14:paraId="0917EB46" w14:textId="4EE58E6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42FB35BA"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5951BC06" w14:textId="26971C71"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Total ExPost LC</w:t>
            </w:r>
            <w:r>
              <w:rPr>
                <w:rFonts w:ascii="Palatino Linotype" w:eastAsia="Times New Roman" w:hAnsi="Palatino Linotype"/>
                <w:b/>
                <w:bCs/>
                <w:color w:val="000000"/>
                <w:sz w:val="20"/>
                <w:szCs w:val="20"/>
              </w:rPr>
              <w:t xml:space="preserve"> </w:t>
            </w:r>
            <w:r w:rsidRPr="00444CFB">
              <w:rPr>
                <w:rFonts w:ascii="Palatino Linotype" w:eastAsia="Times New Roman" w:hAnsi="Palatino Linotype"/>
                <w:b/>
                <w:bCs/>
                <w:color w:val="000000"/>
                <w:sz w:val="20"/>
                <w:szCs w:val="20"/>
              </w:rPr>
              <w:t>Net</w:t>
            </w:r>
          </w:p>
        </w:tc>
        <w:tc>
          <w:tcPr>
            <w:tcW w:w="1585" w:type="dxa"/>
            <w:tcBorders>
              <w:top w:val="nil"/>
              <w:left w:val="single" w:sz="4" w:space="0" w:color="009999"/>
              <w:bottom w:val="single" w:sz="4" w:space="0" w:color="009999"/>
              <w:right w:val="nil"/>
            </w:tcBorders>
            <w:shd w:val="clear" w:color="000000" w:fill="F3FFFF"/>
            <w:vAlign w:val="center"/>
            <w:hideMark/>
          </w:tcPr>
          <w:p w14:paraId="2FA704E7" w14:textId="09E043A1"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13</w:t>
            </w:r>
          </w:p>
        </w:tc>
        <w:tc>
          <w:tcPr>
            <w:tcW w:w="1587" w:type="dxa"/>
            <w:tcBorders>
              <w:top w:val="nil"/>
              <w:left w:val="nil"/>
              <w:bottom w:val="single" w:sz="4" w:space="0" w:color="009999"/>
              <w:right w:val="nil"/>
            </w:tcBorders>
            <w:shd w:val="clear" w:color="000000" w:fill="F3FFFF"/>
            <w:vAlign w:val="center"/>
            <w:hideMark/>
          </w:tcPr>
          <w:p w14:paraId="3573D9C6" w14:textId="3E1F9B06"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13</w:t>
            </w:r>
          </w:p>
        </w:tc>
        <w:tc>
          <w:tcPr>
            <w:tcW w:w="1586" w:type="dxa"/>
            <w:tcBorders>
              <w:top w:val="nil"/>
              <w:left w:val="nil"/>
              <w:bottom w:val="single" w:sz="4" w:space="0" w:color="009999"/>
              <w:right w:val="nil"/>
            </w:tcBorders>
            <w:shd w:val="clear" w:color="000000" w:fill="F3FFFF"/>
            <w:vAlign w:val="center"/>
            <w:hideMark/>
          </w:tcPr>
          <w:p w14:paraId="38766230" w14:textId="3ACC047D"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93</w:t>
            </w:r>
          </w:p>
        </w:tc>
        <w:tc>
          <w:tcPr>
            <w:tcW w:w="1587" w:type="dxa"/>
            <w:tcBorders>
              <w:top w:val="nil"/>
              <w:left w:val="nil"/>
              <w:bottom w:val="single" w:sz="4" w:space="0" w:color="009999"/>
              <w:right w:val="nil"/>
            </w:tcBorders>
            <w:shd w:val="clear" w:color="000000" w:fill="F3FFFF"/>
            <w:vAlign w:val="center"/>
            <w:hideMark/>
          </w:tcPr>
          <w:p w14:paraId="30A19C70" w14:textId="3FD508C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3B04B215"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1ACCF610"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Earnings Rate</w:t>
            </w:r>
          </w:p>
        </w:tc>
        <w:tc>
          <w:tcPr>
            <w:tcW w:w="1585" w:type="dxa"/>
            <w:tcBorders>
              <w:top w:val="nil"/>
              <w:left w:val="single" w:sz="4" w:space="0" w:color="009999"/>
              <w:bottom w:val="single" w:sz="4" w:space="0" w:color="009999"/>
              <w:right w:val="nil"/>
            </w:tcBorders>
            <w:shd w:val="clear" w:color="000000" w:fill="F3FFFF"/>
            <w:vAlign w:val="center"/>
            <w:hideMark/>
          </w:tcPr>
          <w:p w14:paraId="4408891F" w14:textId="4D0694C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$2,525</w:t>
            </w:r>
          </w:p>
        </w:tc>
        <w:tc>
          <w:tcPr>
            <w:tcW w:w="1587" w:type="dxa"/>
            <w:tcBorders>
              <w:top w:val="nil"/>
              <w:left w:val="nil"/>
              <w:bottom w:val="single" w:sz="4" w:space="0" w:color="009999"/>
              <w:right w:val="nil"/>
            </w:tcBorders>
            <w:shd w:val="clear" w:color="000000" w:fill="F3FFFF"/>
            <w:vAlign w:val="center"/>
            <w:hideMark/>
          </w:tcPr>
          <w:p w14:paraId="168144C7" w14:textId="14348FB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$6,200</w:t>
            </w:r>
          </w:p>
        </w:tc>
        <w:tc>
          <w:tcPr>
            <w:tcW w:w="1586" w:type="dxa"/>
            <w:tcBorders>
              <w:top w:val="nil"/>
              <w:left w:val="nil"/>
              <w:bottom w:val="single" w:sz="4" w:space="0" w:color="009999"/>
              <w:right w:val="nil"/>
            </w:tcBorders>
            <w:shd w:val="clear" w:color="000000" w:fill="F3FFFF"/>
            <w:vAlign w:val="center"/>
            <w:hideMark/>
          </w:tcPr>
          <w:p w14:paraId="783849F3" w14:textId="6AE86E91"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$21,331</w:t>
            </w:r>
          </w:p>
        </w:tc>
        <w:tc>
          <w:tcPr>
            <w:tcW w:w="1587" w:type="dxa"/>
            <w:tcBorders>
              <w:top w:val="nil"/>
              <w:left w:val="nil"/>
              <w:bottom w:val="single" w:sz="4" w:space="0" w:color="009999"/>
              <w:right w:val="nil"/>
            </w:tcBorders>
            <w:shd w:val="clear" w:color="000000" w:fill="F3FFFF"/>
            <w:vAlign w:val="center"/>
            <w:hideMark/>
          </w:tcPr>
          <w:p w14:paraId="2279F04E" w14:textId="71E6A21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47B02225" w14:textId="77777777" w:rsidTr="00652AF4">
        <w:trPr>
          <w:trHeight w:val="300"/>
        </w:trPr>
        <w:tc>
          <w:tcPr>
            <w:tcW w:w="3015" w:type="dxa"/>
            <w:tcBorders>
              <w:top w:val="single" w:sz="4" w:space="0" w:color="009999"/>
              <w:left w:val="nil"/>
              <w:bottom w:val="single" w:sz="8" w:space="0" w:color="000000" w:themeColor="text1"/>
              <w:right w:val="single" w:sz="4" w:space="0" w:color="009999"/>
            </w:tcBorders>
            <w:shd w:val="clear" w:color="auto" w:fill="auto"/>
            <w:vAlign w:val="center"/>
            <w:hideMark/>
          </w:tcPr>
          <w:p w14:paraId="6CDC4703"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Payment</w:t>
            </w:r>
          </w:p>
        </w:tc>
        <w:tc>
          <w:tcPr>
            <w:tcW w:w="1585" w:type="dxa"/>
            <w:tcBorders>
              <w:top w:val="single" w:sz="4" w:space="0" w:color="009999"/>
              <w:left w:val="single" w:sz="4" w:space="0" w:color="009999"/>
              <w:bottom w:val="single" w:sz="8" w:space="0" w:color="000000" w:themeColor="text1"/>
              <w:right w:val="nil"/>
            </w:tcBorders>
            <w:shd w:val="clear" w:color="000000" w:fill="F3FFFF"/>
            <w:vAlign w:val="center"/>
            <w:hideMark/>
          </w:tcPr>
          <w:p w14:paraId="599D3094" w14:textId="1540CDE4"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N/A</w:t>
            </w:r>
          </w:p>
        </w:tc>
        <w:tc>
          <w:tcPr>
            <w:tcW w:w="1587" w:type="dxa"/>
            <w:tcBorders>
              <w:top w:val="single" w:sz="4" w:space="0" w:color="009999"/>
              <w:left w:val="nil"/>
              <w:bottom w:val="single" w:sz="8" w:space="0" w:color="000000" w:themeColor="text1"/>
              <w:right w:val="nil"/>
            </w:tcBorders>
            <w:shd w:val="clear" w:color="000000" w:fill="F3FFFF"/>
            <w:vAlign w:val="center"/>
            <w:hideMark/>
          </w:tcPr>
          <w:p w14:paraId="7E5D8C95" w14:textId="6E8E8BFE"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N/A</w:t>
            </w:r>
          </w:p>
        </w:tc>
        <w:tc>
          <w:tcPr>
            <w:tcW w:w="1586" w:type="dxa"/>
            <w:tcBorders>
              <w:top w:val="single" w:sz="4" w:space="0" w:color="009999"/>
              <w:left w:val="nil"/>
              <w:bottom w:val="single" w:sz="8" w:space="0" w:color="000000" w:themeColor="text1"/>
              <w:right w:val="nil"/>
            </w:tcBorders>
            <w:shd w:val="clear" w:color="000000" w:fill="F3FFFF"/>
            <w:vAlign w:val="center"/>
            <w:hideMark/>
          </w:tcPr>
          <w:p w14:paraId="65E722C4" w14:textId="4C6E7CEB"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$1,988,692</w:t>
            </w:r>
          </w:p>
        </w:tc>
        <w:tc>
          <w:tcPr>
            <w:tcW w:w="1587" w:type="dxa"/>
            <w:tcBorders>
              <w:top w:val="single" w:sz="4" w:space="0" w:color="009999"/>
              <w:left w:val="nil"/>
              <w:bottom w:val="single" w:sz="8" w:space="0" w:color="000000" w:themeColor="text1"/>
              <w:right w:val="nil"/>
            </w:tcBorders>
            <w:shd w:val="clear" w:color="000000" w:fill="F3FFFF"/>
            <w:vAlign w:val="center"/>
            <w:hideMark/>
          </w:tcPr>
          <w:p w14:paraId="6F2DB61B" w14:textId="35E3B7B9"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$1,988,692</w:t>
            </w:r>
          </w:p>
        </w:tc>
      </w:tr>
      <w:tr w:rsidR="00B31FA9" w:rsidRPr="00444CFB" w14:paraId="41962009" w14:textId="77777777" w:rsidTr="00652AF4">
        <w:trPr>
          <w:trHeight w:val="300"/>
        </w:trPr>
        <w:tc>
          <w:tcPr>
            <w:tcW w:w="3015" w:type="dxa"/>
            <w:tcBorders>
              <w:top w:val="single" w:sz="8" w:space="0" w:color="000000" w:themeColor="text1"/>
              <w:left w:val="nil"/>
              <w:bottom w:val="single" w:sz="4" w:space="0" w:color="009999"/>
              <w:right w:val="single" w:sz="4" w:space="0" w:color="009999"/>
            </w:tcBorders>
            <w:shd w:val="clear" w:color="auto" w:fill="auto"/>
            <w:vAlign w:val="center"/>
            <w:hideMark/>
          </w:tcPr>
          <w:p w14:paraId="5A8B1173" w14:textId="75B44BB0" w:rsidR="00B31FA9" w:rsidRPr="00444CFB" w:rsidRDefault="00B31FA9" w:rsidP="00B31FA9">
            <w:pPr>
              <w:spacing w:after="0" w:line="240" w:lineRule="auto"/>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SDG&amp;E </w:t>
            </w:r>
          </w:p>
        </w:tc>
        <w:tc>
          <w:tcPr>
            <w:tcW w:w="1585" w:type="dxa"/>
            <w:tcBorders>
              <w:top w:val="single" w:sz="8" w:space="0" w:color="000000" w:themeColor="text1"/>
              <w:left w:val="single" w:sz="4" w:space="0" w:color="009999"/>
              <w:bottom w:val="single" w:sz="4" w:space="0" w:color="009999"/>
              <w:right w:val="nil"/>
            </w:tcBorders>
            <w:shd w:val="clear" w:color="000000" w:fill="F3FFFF"/>
            <w:vAlign w:val="center"/>
            <w:hideMark/>
          </w:tcPr>
          <w:p w14:paraId="24295427" w14:textId="7C0BFADC"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7" w:type="dxa"/>
            <w:tcBorders>
              <w:top w:val="single" w:sz="8" w:space="0" w:color="000000" w:themeColor="text1"/>
              <w:left w:val="nil"/>
              <w:bottom w:val="single" w:sz="4" w:space="0" w:color="009999"/>
              <w:right w:val="nil"/>
            </w:tcBorders>
            <w:shd w:val="clear" w:color="000000" w:fill="F3FFFF"/>
            <w:vAlign w:val="center"/>
            <w:hideMark/>
          </w:tcPr>
          <w:p w14:paraId="608E1ACE" w14:textId="72A3D52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6" w:type="dxa"/>
            <w:tcBorders>
              <w:top w:val="single" w:sz="8" w:space="0" w:color="000000" w:themeColor="text1"/>
              <w:left w:val="nil"/>
              <w:bottom w:val="single" w:sz="4" w:space="0" w:color="009999"/>
              <w:right w:val="nil"/>
            </w:tcBorders>
            <w:shd w:val="clear" w:color="000000" w:fill="F3FFFF"/>
            <w:vAlign w:val="center"/>
            <w:hideMark/>
          </w:tcPr>
          <w:p w14:paraId="46A74B58" w14:textId="12348C70"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c>
          <w:tcPr>
            <w:tcW w:w="1587" w:type="dxa"/>
            <w:tcBorders>
              <w:top w:val="single" w:sz="8" w:space="0" w:color="000000" w:themeColor="text1"/>
              <w:left w:val="nil"/>
              <w:bottom w:val="single" w:sz="4" w:space="0" w:color="009999"/>
              <w:right w:val="nil"/>
            </w:tcBorders>
            <w:shd w:val="clear" w:color="000000" w:fill="F3FFFF"/>
            <w:vAlign w:val="center"/>
            <w:hideMark/>
          </w:tcPr>
          <w:p w14:paraId="1B024823" w14:textId="04FC6DBF"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5D9C226D"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3F088DD2"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ExPost (LC Net) Deemed</w:t>
            </w:r>
          </w:p>
        </w:tc>
        <w:tc>
          <w:tcPr>
            <w:tcW w:w="1585" w:type="dxa"/>
            <w:tcBorders>
              <w:top w:val="nil"/>
              <w:left w:val="single" w:sz="4" w:space="0" w:color="009999"/>
              <w:bottom w:val="single" w:sz="4" w:space="0" w:color="009999"/>
              <w:right w:val="nil"/>
            </w:tcBorders>
            <w:shd w:val="clear" w:color="000000" w:fill="F3FFFF"/>
            <w:vAlign w:val="center"/>
            <w:hideMark/>
          </w:tcPr>
          <w:p w14:paraId="4635765F" w14:textId="3599E85D"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421</w:t>
            </w:r>
          </w:p>
        </w:tc>
        <w:tc>
          <w:tcPr>
            <w:tcW w:w="1587" w:type="dxa"/>
            <w:tcBorders>
              <w:top w:val="nil"/>
              <w:left w:val="nil"/>
              <w:bottom w:val="single" w:sz="4" w:space="0" w:color="009999"/>
              <w:right w:val="nil"/>
            </w:tcBorders>
            <w:shd w:val="clear" w:color="000000" w:fill="F3FFFF"/>
            <w:vAlign w:val="center"/>
            <w:hideMark/>
          </w:tcPr>
          <w:p w14:paraId="0C0B067D" w14:textId="39037942"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82</w:t>
            </w:r>
          </w:p>
        </w:tc>
        <w:tc>
          <w:tcPr>
            <w:tcW w:w="1586" w:type="dxa"/>
            <w:tcBorders>
              <w:top w:val="nil"/>
              <w:left w:val="nil"/>
              <w:bottom w:val="single" w:sz="4" w:space="0" w:color="009999"/>
              <w:right w:val="nil"/>
            </w:tcBorders>
            <w:shd w:val="clear" w:color="000000" w:fill="F3FFFF"/>
            <w:vAlign w:val="center"/>
            <w:hideMark/>
          </w:tcPr>
          <w:p w14:paraId="1E049313" w14:textId="6D46D0B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-4</w:t>
            </w:r>
          </w:p>
        </w:tc>
        <w:tc>
          <w:tcPr>
            <w:tcW w:w="1587" w:type="dxa"/>
            <w:tcBorders>
              <w:top w:val="nil"/>
              <w:left w:val="nil"/>
              <w:bottom w:val="single" w:sz="4" w:space="0" w:color="009999"/>
              <w:right w:val="nil"/>
            </w:tcBorders>
            <w:shd w:val="clear" w:color="000000" w:fill="F3FFFF"/>
            <w:vAlign w:val="center"/>
            <w:hideMark/>
          </w:tcPr>
          <w:p w14:paraId="308AF314" w14:textId="50C1529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30596571"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6EC983AE" w14:textId="17C90CA6"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ExPost (LC Net) Custom</w:t>
            </w:r>
          </w:p>
        </w:tc>
        <w:tc>
          <w:tcPr>
            <w:tcW w:w="1585" w:type="dxa"/>
            <w:tcBorders>
              <w:top w:val="nil"/>
              <w:left w:val="single" w:sz="4" w:space="0" w:color="009999"/>
              <w:bottom w:val="single" w:sz="4" w:space="0" w:color="009999"/>
              <w:right w:val="nil"/>
            </w:tcBorders>
            <w:shd w:val="clear" w:color="000000" w:fill="F3FFFF"/>
            <w:vAlign w:val="center"/>
            <w:hideMark/>
          </w:tcPr>
          <w:p w14:paraId="43CDAA6A" w14:textId="12E61158"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315</w:t>
            </w:r>
          </w:p>
        </w:tc>
        <w:tc>
          <w:tcPr>
            <w:tcW w:w="1587" w:type="dxa"/>
            <w:tcBorders>
              <w:top w:val="nil"/>
              <w:left w:val="nil"/>
              <w:bottom w:val="single" w:sz="4" w:space="0" w:color="009999"/>
              <w:right w:val="nil"/>
            </w:tcBorders>
            <w:shd w:val="clear" w:color="000000" w:fill="F3FFFF"/>
            <w:vAlign w:val="center"/>
            <w:hideMark/>
          </w:tcPr>
          <w:p w14:paraId="440F7641" w14:textId="2DD49B27"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53</w:t>
            </w:r>
          </w:p>
        </w:tc>
        <w:tc>
          <w:tcPr>
            <w:tcW w:w="1586" w:type="dxa"/>
            <w:tcBorders>
              <w:top w:val="nil"/>
              <w:left w:val="nil"/>
              <w:bottom w:val="single" w:sz="4" w:space="0" w:color="009999"/>
              <w:right w:val="nil"/>
            </w:tcBorders>
            <w:shd w:val="clear" w:color="000000" w:fill="F3FFFF"/>
            <w:vAlign w:val="center"/>
            <w:hideMark/>
          </w:tcPr>
          <w:p w14:paraId="20387BF9" w14:textId="4D6449A0"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4</w:t>
            </w:r>
          </w:p>
        </w:tc>
        <w:tc>
          <w:tcPr>
            <w:tcW w:w="1587" w:type="dxa"/>
            <w:tcBorders>
              <w:top w:val="nil"/>
              <w:left w:val="nil"/>
              <w:bottom w:val="single" w:sz="4" w:space="0" w:color="009999"/>
              <w:right w:val="nil"/>
            </w:tcBorders>
            <w:shd w:val="clear" w:color="000000" w:fill="F3FFFF"/>
            <w:vAlign w:val="center"/>
            <w:hideMark/>
          </w:tcPr>
          <w:p w14:paraId="31F8C990" w14:textId="1B69517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235F9A4A"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2ED70F81" w14:textId="16F703F0"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Total ExPost LC</w:t>
            </w:r>
            <w:r>
              <w:rPr>
                <w:rFonts w:ascii="Palatino Linotype" w:eastAsia="Times New Roman" w:hAnsi="Palatino Linotype"/>
                <w:b/>
                <w:bCs/>
                <w:color w:val="000000"/>
                <w:sz w:val="20"/>
                <w:szCs w:val="20"/>
              </w:rPr>
              <w:t xml:space="preserve"> </w:t>
            </w:r>
            <w:r w:rsidRPr="00444CFB">
              <w:rPr>
                <w:rFonts w:ascii="Palatino Linotype" w:eastAsia="Times New Roman" w:hAnsi="Palatino Linotype"/>
                <w:b/>
                <w:bCs/>
                <w:color w:val="000000"/>
                <w:sz w:val="20"/>
                <w:szCs w:val="20"/>
              </w:rPr>
              <w:t>Net</w:t>
            </w:r>
          </w:p>
        </w:tc>
        <w:tc>
          <w:tcPr>
            <w:tcW w:w="1585" w:type="dxa"/>
            <w:tcBorders>
              <w:top w:val="nil"/>
              <w:left w:val="single" w:sz="4" w:space="0" w:color="009999"/>
              <w:bottom w:val="single" w:sz="4" w:space="0" w:color="009999"/>
              <w:right w:val="nil"/>
            </w:tcBorders>
            <w:shd w:val="clear" w:color="000000" w:fill="F3FFFF"/>
            <w:vAlign w:val="center"/>
            <w:hideMark/>
          </w:tcPr>
          <w:p w14:paraId="0B7A9E69" w14:textId="420164BE"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736</w:t>
            </w:r>
          </w:p>
        </w:tc>
        <w:tc>
          <w:tcPr>
            <w:tcW w:w="1587" w:type="dxa"/>
            <w:tcBorders>
              <w:top w:val="nil"/>
              <w:left w:val="nil"/>
              <w:bottom w:val="single" w:sz="4" w:space="0" w:color="009999"/>
              <w:right w:val="nil"/>
            </w:tcBorders>
            <w:shd w:val="clear" w:color="000000" w:fill="F3FFFF"/>
            <w:vAlign w:val="center"/>
            <w:hideMark/>
          </w:tcPr>
          <w:p w14:paraId="7A1BCDC0" w14:textId="0FAD3074"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135</w:t>
            </w:r>
          </w:p>
        </w:tc>
        <w:tc>
          <w:tcPr>
            <w:tcW w:w="1586" w:type="dxa"/>
            <w:tcBorders>
              <w:top w:val="nil"/>
              <w:left w:val="nil"/>
              <w:bottom w:val="single" w:sz="4" w:space="0" w:color="009999"/>
              <w:right w:val="nil"/>
            </w:tcBorders>
            <w:shd w:val="clear" w:color="000000" w:fill="F3FFFF"/>
            <w:vAlign w:val="center"/>
            <w:hideMark/>
          </w:tcPr>
          <w:p w14:paraId="17B13404" w14:textId="699D58EB" w:rsidR="00B31FA9" w:rsidRPr="00B31FA9" w:rsidRDefault="00B31FA9" w:rsidP="00B31FA9">
            <w:pPr>
              <w:spacing w:after="0" w:line="240" w:lineRule="auto"/>
              <w:ind w:firstLineChars="100" w:firstLine="201"/>
              <w:jc w:val="right"/>
              <w:rPr>
                <w:rFonts w:ascii="Palatino Linotype" w:eastAsia="Times New Roman" w:hAnsi="Palatino Linotype"/>
                <w:b/>
                <w:color w:val="000000"/>
                <w:sz w:val="20"/>
                <w:szCs w:val="20"/>
              </w:rPr>
            </w:pPr>
            <w:r w:rsidRPr="00B31FA9">
              <w:rPr>
                <w:rFonts w:ascii="Palatino Linotype" w:hAnsi="Palatino Linotype" w:cs="Segoe UI"/>
                <w:b/>
                <w:bCs/>
                <w:color w:val="000000"/>
                <w:sz w:val="20"/>
                <w:szCs w:val="20"/>
              </w:rPr>
              <w:t>0.4</w:t>
            </w:r>
          </w:p>
        </w:tc>
        <w:tc>
          <w:tcPr>
            <w:tcW w:w="1587" w:type="dxa"/>
            <w:tcBorders>
              <w:top w:val="nil"/>
              <w:left w:val="nil"/>
              <w:bottom w:val="single" w:sz="4" w:space="0" w:color="009999"/>
              <w:right w:val="nil"/>
            </w:tcBorders>
            <w:shd w:val="clear" w:color="000000" w:fill="F3FFFF"/>
            <w:vAlign w:val="center"/>
            <w:hideMark/>
          </w:tcPr>
          <w:p w14:paraId="04253B46" w14:textId="5469265C"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61893A34" w14:textId="77777777" w:rsidTr="00652AF4">
        <w:trPr>
          <w:trHeight w:val="300"/>
        </w:trPr>
        <w:tc>
          <w:tcPr>
            <w:tcW w:w="3015" w:type="dxa"/>
            <w:tcBorders>
              <w:top w:val="nil"/>
              <w:left w:val="nil"/>
              <w:bottom w:val="single" w:sz="4" w:space="0" w:color="009999"/>
              <w:right w:val="single" w:sz="4" w:space="0" w:color="009999"/>
            </w:tcBorders>
            <w:shd w:val="clear" w:color="auto" w:fill="auto"/>
            <w:vAlign w:val="center"/>
            <w:hideMark/>
          </w:tcPr>
          <w:p w14:paraId="3C6E5C3B"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Earnings Rate</w:t>
            </w:r>
          </w:p>
        </w:tc>
        <w:tc>
          <w:tcPr>
            <w:tcW w:w="1585" w:type="dxa"/>
            <w:tcBorders>
              <w:top w:val="nil"/>
              <w:left w:val="single" w:sz="4" w:space="0" w:color="009999"/>
              <w:bottom w:val="single" w:sz="4" w:space="0" w:color="009999"/>
              <w:right w:val="nil"/>
            </w:tcBorders>
            <w:shd w:val="clear" w:color="000000" w:fill="F3FFFF"/>
            <w:vAlign w:val="center"/>
            <w:hideMark/>
          </w:tcPr>
          <w:p w14:paraId="70D51BEC" w14:textId="29D5060A"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$2,525</w:t>
            </w:r>
          </w:p>
        </w:tc>
        <w:tc>
          <w:tcPr>
            <w:tcW w:w="1587" w:type="dxa"/>
            <w:tcBorders>
              <w:top w:val="nil"/>
              <w:left w:val="nil"/>
              <w:bottom w:val="single" w:sz="4" w:space="0" w:color="009999"/>
              <w:right w:val="nil"/>
            </w:tcBorders>
            <w:shd w:val="clear" w:color="000000" w:fill="F3FFFF"/>
            <w:vAlign w:val="center"/>
            <w:hideMark/>
          </w:tcPr>
          <w:p w14:paraId="3A9D1A6E" w14:textId="2574FE93"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$6,200</w:t>
            </w:r>
          </w:p>
        </w:tc>
        <w:tc>
          <w:tcPr>
            <w:tcW w:w="1586" w:type="dxa"/>
            <w:tcBorders>
              <w:top w:val="nil"/>
              <w:left w:val="nil"/>
              <w:bottom w:val="single" w:sz="4" w:space="0" w:color="009999"/>
              <w:right w:val="nil"/>
            </w:tcBorders>
            <w:shd w:val="clear" w:color="000000" w:fill="F3FFFF"/>
            <w:vAlign w:val="center"/>
            <w:hideMark/>
          </w:tcPr>
          <w:p w14:paraId="380BC4CE" w14:textId="6BCBE6C0"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$21,331</w:t>
            </w:r>
          </w:p>
        </w:tc>
        <w:tc>
          <w:tcPr>
            <w:tcW w:w="1587" w:type="dxa"/>
            <w:tcBorders>
              <w:top w:val="nil"/>
              <w:left w:val="nil"/>
              <w:bottom w:val="single" w:sz="4" w:space="0" w:color="009999"/>
              <w:right w:val="nil"/>
            </w:tcBorders>
            <w:shd w:val="clear" w:color="000000" w:fill="F3FFFF"/>
            <w:vAlign w:val="center"/>
            <w:hideMark/>
          </w:tcPr>
          <w:p w14:paraId="3689DA52" w14:textId="0860353C"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p>
        </w:tc>
      </w:tr>
      <w:tr w:rsidR="00B31FA9" w:rsidRPr="00444CFB" w14:paraId="72FE12A5" w14:textId="77777777" w:rsidTr="00652AF4">
        <w:trPr>
          <w:trHeight w:val="300"/>
        </w:trPr>
        <w:tc>
          <w:tcPr>
            <w:tcW w:w="3015" w:type="dxa"/>
            <w:tcBorders>
              <w:top w:val="single" w:sz="4" w:space="0" w:color="009999"/>
              <w:left w:val="nil"/>
              <w:bottom w:val="single" w:sz="4" w:space="0" w:color="009999"/>
              <w:right w:val="single" w:sz="4" w:space="0" w:color="009999"/>
            </w:tcBorders>
            <w:shd w:val="clear" w:color="auto" w:fill="auto"/>
            <w:vAlign w:val="center"/>
            <w:hideMark/>
          </w:tcPr>
          <w:p w14:paraId="2E54414D" w14:textId="77777777" w:rsidR="00B31FA9" w:rsidRPr="00444CFB" w:rsidRDefault="00B31FA9" w:rsidP="00B31FA9">
            <w:pPr>
              <w:spacing w:after="0" w:line="240" w:lineRule="auto"/>
              <w:ind w:firstLineChars="100" w:firstLine="201"/>
              <w:rPr>
                <w:rFonts w:ascii="Palatino Linotype" w:eastAsia="Times New Roman" w:hAnsi="Palatino Linotype"/>
                <w:b/>
                <w:bCs/>
                <w:color w:val="000000"/>
                <w:sz w:val="20"/>
                <w:szCs w:val="20"/>
              </w:rPr>
            </w:pPr>
            <w:r w:rsidRPr="00444CFB">
              <w:rPr>
                <w:rFonts w:ascii="Palatino Linotype" w:eastAsia="Times New Roman" w:hAnsi="Palatino Linotype"/>
                <w:b/>
                <w:bCs/>
                <w:color w:val="000000"/>
                <w:sz w:val="20"/>
                <w:szCs w:val="20"/>
              </w:rPr>
              <w:t>Payment</w:t>
            </w:r>
          </w:p>
        </w:tc>
        <w:tc>
          <w:tcPr>
            <w:tcW w:w="1585" w:type="dxa"/>
            <w:tcBorders>
              <w:top w:val="single" w:sz="4" w:space="0" w:color="009999"/>
              <w:left w:val="single" w:sz="4" w:space="0" w:color="009999"/>
              <w:bottom w:val="single" w:sz="4" w:space="0" w:color="009999"/>
              <w:right w:val="nil"/>
            </w:tcBorders>
            <w:shd w:val="clear" w:color="000000" w:fill="F3FFFF"/>
            <w:vAlign w:val="center"/>
            <w:hideMark/>
          </w:tcPr>
          <w:p w14:paraId="715A0588" w14:textId="51BAE426"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$1,857,525</w:t>
            </w:r>
          </w:p>
        </w:tc>
        <w:tc>
          <w:tcPr>
            <w:tcW w:w="1587" w:type="dxa"/>
            <w:tcBorders>
              <w:top w:val="single" w:sz="4" w:space="0" w:color="009999"/>
              <w:left w:val="nil"/>
              <w:bottom w:val="single" w:sz="4" w:space="0" w:color="009999"/>
              <w:right w:val="nil"/>
            </w:tcBorders>
            <w:shd w:val="clear" w:color="000000" w:fill="F3FFFF"/>
            <w:vAlign w:val="center"/>
            <w:hideMark/>
          </w:tcPr>
          <w:p w14:paraId="25931517" w14:textId="76F367D0"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$834,859</w:t>
            </w:r>
          </w:p>
        </w:tc>
        <w:tc>
          <w:tcPr>
            <w:tcW w:w="1586" w:type="dxa"/>
            <w:tcBorders>
              <w:top w:val="single" w:sz="4" w:space="0" w:color="009999"/>
              <w:left w:val="nil"/>
              <w:bottom w:val="single" w:sz="4" w:space="0" w:color="009999"/>
              <w:right w:val="nil"/>
            </w:tcBorders>
            <w:shd w:val="clear" w:color="000000" w:fill="F3FFFF"/>
            <w:vAlign w:val="center"/>
            <w:hideMark/>
          </w:tcPr>
          <w:p w14:paraId="169CCF60" w14:textId="785FFEB9" w:rsidR="00B31FA9" w:rsidRPr="00B31FA9" w:rsidRDefault="00B31FA9" w:rsidP="00B31FA9">
            <w:pPr>
              <w:spacing w:after="0" w:line="240" w:lineRule="auto"/>
              <w:ind w:firstLineChars="100" w:firstLine="200"/>
              <w:jc w:val="right"/>
              <w:rPr>
                <w:rFonts w:ascii="Palatino Linotype" w:eastAsia="Times New Roman" w:hAnsi="Palatino Linotype"/>
                <w:color w:val="000000"/>
                <w:sz w:val="20"/>
                <w:szCs w:val="20"/>
              </w:rPr>
            </w:pPr>
            <w:r w:rsidRPr="00B31FA9">
              <w:rPr>
                <w:rFonts w:ascii="Palatino Linotype" w:hAnsi="Palatino Linotype" w:cs="Segoe UI"/>
                <w:color w:val="000000"/>
                <w:sz w:val="20"/>
                <w:szCs w:val="20"/>
              </w:rPr>
              <w:t>$8,750</w:t>
            </w:r>
          </w:p>
        </w:tc>
        <w:tc>
          <w:tcPr>
            <w:tcW w:w="1587" w:type="dxa"/>
            <w:tcBorders>
              <w:top w:val="single" w:sz="4" w:space="0" w:color="009999"/>
              <w:left w:val="nil"/>
              <w:bottom w:val="single" w:sz="4" w:space="0" w:color="009999"/>
              <w:right w:val="nil"/>
            </w:tcBorders>
            <w:shd w:val="clear" w:color="000000" w:fill="F3FFFF"/>
            <w:vAlign w:val="center"/>
            <w:hideMark/>
          </w:tcPr>
          <w:p w14:paraId="18CC5C4F" w14:textId="69DA5E86" w:rsidR="00B31FA9" w:rsidRPr="00B31FA9" w:rsidRDefault="00B31FA9" w:rsidP="00B31FA9">
            <w:pPr>
              <w:spacing w:after="0" w:line="240" w:lineRule="auto"/>
              <w:ind w:firstLineChars="100" w:firstLine="201"/>
              <w:jc w:val="right"/>
              <w:rPr>
                <w:rFonts w:ascii="Palatino Linotype" w:eastAsia="Times New Roman" w:hAnsi="Palatino Linotype"/>
                <w:b/>
                <w:bCs/>
                <w:color w:val="000000"/>
                <w:sz w:val="20"/>
                <w:szCs w:val="20"/>
              </w:rPr>
            </w:pPr>
            <w:r w:rsidRPr="00B31FA9">
              <w:rPr>
                <w:rFonts w:ascii="Palatino Linotype" w:hAnsi="Palatino Linotype" w:cs="Segoe UI"/>
                <w:b/>
                <w:bCs/>
                <w:color w:val="000000"/>
                <w:sz w:val="20"/>
                <w:szCs w:val="20"/>
              </w:rPr>
              <w:t>$2,701,134</w:t>
            </w:r>
          </w:p>
        </w:tc>
      </w:tr>
    </w:tbl>
    <w:p w14:paraId="181E3CE1" w14:textId="77777777" w:rsidR="009010E4" w:rsidRDefault="009010E4" w:rsidP="009010E4">
      <w:pPr>
        <w:rPr>
          <w:rFonts w:ascii="Palatino Linotype" w:hAnsi="Palatino Linotype"/>
        </w:rPr>
      </w:pPr>
    </w:p>
    <w:p w14:paraId="65D9FF45" w14:textId="77777777" w:rsidR="00CE7E8A" w:rsidRDefault="00DC6E81" w:rsidP="00CE7E8A">
      <w:pPr>
        <w:numPr>
          <w:ilvl w:val="0"/>
          <w:numId w:val="1"/>
        </w:numPr>
        <w:rPr>
          <w:rFonts w:ascii="Palatino Linotype" w:hAnsi="Palatino Linotype"/>
          <w:b/>
        </w:rPr>
      </w:pPr>
      <w:r>
        <w:rPr>
          <w:rFonts w:ascii="Palatino Linotype" w:hAnsi="Palatino Linotype"/>
          <w:b/>
        </w:rPr>
        <w:t>Components of</w:t>
      </w:r>
      <w:r w:rsidR="00CE7E8A" w:rsidRPr="00181EF9">
        <w:rPr>
          <w:rFonts w:ascii="Palatino Linotype" w:hAnsi="Palatino Linotype"/>
          <w:b/>
        </w:rPr>
        <w:t xml:space="preserve"> </w:t>
      </w:r>
      <w:r w:rsidR="00444CFB">
        <w:rPr>
          <w:rFonts w:ascii="Palatino Linotype" w:hAnsi="Palatino Linotype"/>
          <w:b/>
        </w:rPr>
        <w:t xml:space="preserve">the </w:t>
      </w:r>
      <w:r w:rsidR="00CE7E8A" w:rsidRPr="00181EF9">
        <w:rPr>
          <w:rFonts w:ascii="Palatino Linotype" w:hAnsi="Palatino Linotype"/>
          <w:b/>
        </w:rPr>
        <w:t>Earnings</w:t>
      </w:r>
      <w:r>
        <w:rPr>
          <w:rFonts w:ascii="Palatino Linotype" w:hAnsi="Palatino Linotype"/>
          <w:b/>
        </w:rPr>
        <w:t xml:space="preserve"> Calculation</w:t>
      </w:r>
    </w:p>
    <w:p w14:paraId="7722E86F" w14:textId="77777777" w:rsidR="00AD49B5" w:rsidRPr="00AD49B5" w:rsidRDefault="00AD49B5" w:rsidP="00237938">
      <w:pPr>
        <w:ind w:left="720"/>
        <w:rPr>
          <w:rFonts w:ascii="Palatino Linotype" w:hAnsi="Palatino Linotype"/>
          <w:b/>
        </w:rPr>
      </w:pPr>
      <w:r>
        <w:rPr>
          <w:rFonts w:ascii="Palatino Linotype" w:hAnsi="Palatino Linotype"/>
          <w:b/>
        </w:rPr>
        <w:t>Earnings Coefficients</w:t>
      </w:r>
    </w:p>
    <w:p w14:paraId="113BD985" w14:textId="361C255F" w:rsidR="00237938" w:rsidRDefault="0019619B" w:rsidP="005B173F">
      <w:pPr>
        <w:keepNext/>
        <w:keepLines/>
        <w:ind w:left="720"/>
        <w:jc w:val="both"/>
        <w:rPr>
          <w:rFonts w:ascii="Palatino Linotype" w:hAnsi="Palatino Linotype"/>
        </w:rPr>
      </w:pPr>
      <w:r>
        <w:rPr>
          <w:rFonts w:ascii="Palatino Linotype" w:hAnsi="Palatino Linotype"/>
        </w:rPr>
        <w:t xml:space="preserve">D.13-09-023 established the earnings coefficient to apply to each unit of savings </w:t>
      </w:r>
      <w:r w:rsidR="00D778D2">
        <w:rPr>
          <w:rFonts w:ascii="Palatino Linotype" w:hAnsi="Palatino Linotype"/>
        </w:rPr>
        <w:t xml:space="preserve">each </w:t>
      </w:r>
      <w:r>
        <w:rPr>
          <w:rFonts w:ascii="Palatino Linotype" w:hAnsi="Palatino Linotype"/>
        </w:rPr>
        <w:t>IOU achieved in 2013, on an ex-post basis:</w:t>
      </w:r>
    </w:p>
    <w:p w14:paraId="40148C12" w14:textId="717B476F" w:rsidR="0019619B" w:rsidRDefault="0019619B" w:rsidP="0019619B">
      <w:pPr>
        <w:spacing w:after="0"/>
        <w:ind w:left="1440"/>
        <w:rPr>
          <w:rFonts w:ascii="Palatino Linotype" w:hAnsi="Palatino Linotype"/>
        </w:rPr>
      </w:pPr>
      <w:r>
        <w:rPr>
          <w:rFonts w:ascii="Palatino Linotype" w:hAnsi="Palatino Linotype"/>
        </w:rPr>
        <w:t xml:space="preserve">Electricity ($/MWh) </w:t>
      </w:r>
      <w:r>
        <w:rPr>
          <w:rFonts w:ascii="Palatino Linotype" w:hAnsi="Palatino Linotype"/>
        </w:rPr>
        <w:tab/>
      </w:r>
      <w:r w:rsidR="005B173F">
        <w:rPr>
          <w:rFonts w:ascii="Palatino Linotype" w:hAnsi="Palatino Linotype"/>
        </w:rPr>
        <w:tab/>
        <w:t xml:space="preserve">   </w:t>
      </w:r>
      <w:r>
        <w:rPr>
          <w:rFonts w:ascii="Palatino Linotype" w:hAnsi="Palatino Linotype"/>
        </w:rPr>
        <w:t>$2,525</w:t>
      </w:r>
    </w:p>
    <w:p w14:paraId="6F4E76B0" w14:textId="6B95EB93" w:rsidR="0019619B" w:rsidRDefault="0019619B" w:rsidP="0019619B">
      <w:pPr>
        <w:spacing w:after="0"/>
        <w:ind w:left="1440"/>
        <w:rPr>
          <w:rFonts w:ascii="Palatino Linotype" w:hAnsi="Palatino Linotype"/>
        </w:rPr>
      </w:pPr>
      <w:r>
        <w:rPr>
          <w:rFonts w:ascii="Palatino Linotype" w:hAnsi="Palatino Linotype"/>
        </w:rPr>
        <w:t xml:space="preserve">Peak Demand ($/MW – Yr) </w:t>
      </w:r>
      <w:r>
        <w:rPr>
          <w:rFonts w:ascii="Palatino Linotype" w:hAnsi="Palatino Linotype"/>
        </w:rPr>
        <w:tab/>
      </w:r>
      <w:r w:rsidR="005B173F">
        <w:rPr>
          <w:rFonts w:ascii="Palatino Linotype" w:hAnsi="Palatino Linotype"/>
        </w:rPr>
        <w:t xml:space="preserve">   </w:t>
      </w:r>
      <w:r>
        <w:rPr>
          <w:rFonts w:ascii="Palatino Linotype" w:hAnsi="Palatino Linotype"/>
        </w:rPr>
        <w:t>$6,200</w:t>
      </w:r>
    </w:p>
    <w:p w14:paraId="302C2A36" w14:textId="4FB60819" w:rsidR="0019619B" w:rsidRDefault="0019619B" w:rsidP="0019619B">
      <w:pPr>
        <w:spacing w:after="0"/>
        <w:ind w:left="1440"/>
        <w:rPr>
          <w:rFonts w:ascii="Palatino Linotype" w:hAnsi="Palatino Linotype"/>
        </w:rPr>
      </w:pPr>
      <w:r>
        <w:rPr>
          <w:rFonts w:ascii="Palatino Linotype" w:hAnsi="Palatino Linotype"/>
        </w:rPr>
        <w:t>Natural Gas ($/</w:t>
      </w:r>
      <w:r w:rsidR="00B31FA9">
        <w:rPr>
          <w:rFonts w:ascii="Palatino Linotype" w:hAnsi="Palatino Linotype"/>
        </w:rPr>
        <w:t xml:space="preserve">MMTh) </w:t>
      </w:r>
      <w:r w:rsidR="00B31FA9">
        <w:rPr>
          <w:rFonts w:ascii="Palatino Linotype" w:hAnsi="Palatino Linotype"/>
        </w:rPr>
        <w:tab/>
        <w:t xml:space="preserve"> $21,</w:t>
      </w:r>
      <w:r>
        <w:rPr>
          <w:rFonts w:ascii="Palatino Linotype" w:hAnsi="Palatino Linotype"/>
        </w:rPr>
        <w:t>331</w:t>
      </w:r>
    </w:p>
    <w:p w14:paraId="295C1F3A" w14:textId="77777777" w:rsidR="00AD49B5" w:rsidRDefault="00AD49B5" w:rsidP="0019619B">
      <w:pPr>
        <w:spacing w:after="0"/>
        <w:ind w:left="720"/>
        <w:rPr>
          <w:rFonts w:ascii="Palatino Linotype" w:hAnsi="Palatino Linotype"/>
        </w:rPr>
      </w:pPr>
    </w:p>
    <w:p w14:paraId="4E26C418" w14:textId="75829E38" w:rsidR="0019619B" w:rsidRDefault="00AD49B5" w:rsidP="005B173F">
      <w:pPr>
        <w:spacing w:after="0"/>
        <w:ind w:left="720"/>
        <w:jc w:val="both"/>
        <w:rPr>
          <w:rFonts w:ascii="Palatino Linotype" w:hAnsi="Palatino Linotype"/>
        </w:rPr>
      </w:pPr>
      <w:r>
        <w:rPr>
          <w:rFonts w:ascii="Palatino Linotype" w:hAnsi="Palatino Linotype"/>
        </w:rPr>
        <w:t xml:space="preserve">Commission staff applies these coefficients to the net lifecycle ex-post values per IOU for kWh, kW, and </w:t>
      </w:r>
      <w:r w:rsidR="008E77F7">
        <w:rPr>
          <w:rFonts w:ascii="Palatino Linotype" w:hAnsi="Palatino Linotype"/>
        </w:rPr>
        <w:t>t</w:t>
      </w:r>
      <w:r w:rsidR="005B173F">
        <w:rPr>
          <w:rFonts w:ascii="Palatino Linotype" w:hAnsi="Palatino Linotype"/>
        </w:rPr>
        <w:t>herms</w:t>
      </w:r>
      <w:r>
        <w:rPr>
          <w:rFonts w:ascii="Palatino Linotype" w:hAnsi="Palatino Linotype"/>
        </w:rPr>
        <w:t>.</w:t>
      </w:r>
    </w:p>
    <w:p w14:paraId="403DA642" w14:textId="77777777" w:rsidR="00AD49B5" w:rsidRDefault="00AD49B5" w:rsidP="0019619B">
      <w:pPr>
        <w:spacing w:after="0"/>
        <w:ind w:left="720"/>
        <w:rPr>
          <w:rFonts w:ascii="Palatino Linotype" w:hAnsi="Palatino Linotype"/>
          <w:b/>
        </w:rPr>
      </w:pPr>
    </w:p>
    <w:p w14:paraId="18200E24" w14:textId="77777777" w:rsidR="00AD49B5" w:rsidRDefault="00AD49B5" w:rsidP="0019619B">
      <w:pPr>
        <w:spacing w:after="0"/>
        <w:ind w:left="720"/>
        <w:rPr>
          <w:rFonts w:ascii="Palatino Linotype" w:hAnsi="Palatino Linotype"/>
          <w:b/>
        </w:rPr>
      </w:pPr>
      <w:r>
        <w:rPr>
          <w:rFonts w:ascii="Palatino Linotype" w:hAnsi="Palatino Linotype"/>
          <w:b/>
        </w:rPr>
        <w:t>Lifecycle Savings</w:t>
      </w:r>
    </w:p>
    <w:p w14:paraId="20CB3E97" w14:textId="77777777" w:rsidR="00AD49B5" w:rsidRDefault="00AD49B5" w:rsidP="0019619B">
      <w:pPr>
        <w:spacing w:after="0"/>
        <w:ind w:left="720"/>
        <w:rPr>
          <w:rFonts w:ascii="Palatino Linotype" w:hAnsi="Palatino Linotype"/>
          <w:b/>
        </w:rPr>
      </w:pPr>
    </w:p>
    <w:p w14:paraId="302CF395" w14:textId="30414DA5" w:rsidR="00AD49B5" w:rsidRDefault="00AD49B5" w:rsidP="005B173F">
      <w:pPr>
        <w:spacing w:after="0"/>
        <w:ind w:left="720"/>
        <w:jc w:val="both"/>
        <w:rPr>
          <w:rFonts w:ascii="Palatino Linotype" w:hAnsi="Palatino Linotype"/>
        </w:rPr>
      </w:pPr>
      <w:r>
        <w:rPr>
          <w:rFonts w:ascii="Palatino Linotype" w:hAnsi="Palatino Linotype"/>
        </w:rPr>
        <w:t xml:space="preserve">To </w:t>
      </w:r>
      <w:r w:rsidR="003D1E4B">
        <w:rPr>
          <w:rFonts w:ascii="Palatino Linotype" w:hAnsi="Palatino Linotype"/>
        </w:rPr>
        <w:t>estimate</w:t>
      </w:r>
      <w:r>
        <w:rPr>
          <w:rFonts w:ascii="Palatino Linotype" w:hAnsi="Palatino Linotype"/>
        </w:rPr>
        <w:t xml:space="preserve"> lifecycle kWh, kW, and </w:t>
      </w:r>
      <w:r w:rsidR="008E77F7">
        <w:rPr>
          <w:rFonts w:ascii="Palatino Linotype" w:hAnsi="Palatino Linotype"/>
        </w:rPr>
        <w:t>t</w:t>
      </w:r>
      <w:r w:rsidR="005B173F">
        <w:rPr>
          <w:rFonts w:ascii="Palatino Linotype" w:hAnsi="Palatino Linotype"/>
        </w:rPr>
        <w:t>herms</w:t>
      </w:r>
      <w:r>
        <w:rPr>
          <w:rFonts w:ascii="Palatino Linotype" w:hAnsi="Palatino Linotype"/>
        </w:rPr>
        <w:t xml:space="preserve"> savings, Commission Staff applied the ex-post parameters from the final 2013 ESPI memos</w:t>
      </w:r>
      <w:r w:rsidR="007C796F">
        <w:rPr>
          <w:rFonts w:ascii="Palatino Linotype" w:hAnsi="Palatino Linotype"/>
        </w:rPr>
        <w:t>.  Per Attachment 2 of D.13-09-023, the following parameters may be updated for purposes of determining performance:</w:t>
      </w:r>
    </w:p>
    <w:p w14:paraId="478974F8" w14:textId="77777777" w:rsidR="007C796F" w:rsidRDefault="007C796F" w:rsidP="0019619B">
      <w:pPr>
        <w:spacing w:after="0"/>
        <w:ind w:left="720"/>
        <w:rPr>
          <w:rFonts w:ascii="Palatino Linotype" w:hAnsi="Palatino Linotype"/>
        </w:rPr>
      </w:pPr>
    </w:p>
    <w:p w14:paraId="7F591FC3" w14:textId="698FB6F3" w:rsidR="007C796F" w:rsidRDefault="007C796F" w:rsidP="007C796F">
      <w:pPr>
        <w:numPr>
          <w:ilvl w:val="0"/>
          <w:numId w:val="2"/>
        </w:numPr>
        <w:spacing w:after="0"/>
        <w:rPr>
          <w:rFonts w:ascii="Palatino Linotype" w:hAnsi="Palatino Linotype"/>
        </w:rPr>
      </w:pPr>
      <w:r>
        <w:rPr>
          <w:rFonts w:ascii="Palatino Linotype" w:hAnsi="Palatino Linotype"/>
        </w:rPr>
        <w:t>Measure Installations/Measure Count</w:t>
      </w:r>
    </w:p>
    <w:p w14:paraId="19247B98" w14:textId="77777777" w:rsidR="007C796F" w:rsidRDefault="007C796F" w:rsidP="007C796F">
      <w:pPr>
        <w:numPr>
          <w:ilvl w:val="0"/>
          <w:numId w:val="2"/>
        </w:numPr>
        <w:spacing w:after="0"/>
        <w:rPr>
          <w:rFonts w:ascii="Palatino Linotype" w:hAnsi="Palatino Linotype"/>
        </w:rPr>
      </w:pPr>
      <w:r>
        <w:rPr>
          <w:rFonts w:ascii="Palatino Linotype" w:hAnsi="Palatino Linotype"/>
        </w:rPr>
        <w:t>Unit Energy Savings</w:t>
      </w:r>
    </w:p>
    <w:p w14:paraId="27A64485" w14:textId="77777777" w:rsidR="007C796F" w:rsidRDefault="007C796F" w:rsidP="007C796F">
      <w:pPr>
        <w:numPr>
          <w:ilvl w:val="0"/>
          <w:numId w:val="2"/>
        </w:numPr>
        <w:spacing w:after="0"/>
        <w:rPr>
          <w:rFonts w:ascii="Palatino Linotype" w:hAnsi="Palatino Linotype"/>
        </w:rPr>
      </w:pPr>
      <w:r>
        <w:rPr>
          <w:rFonts w:ascii="Palatino Linotype" w:hAnsi="Palatino Linotype"/>
        </w:rPr>
        <w:t>Gross Energy Savings (product of 1 and 2)</w:t>
      </w:r>
    </w:p>
    <w:p w14:paraId="309F750A" w14:textId="77777777" w:rsidR="007C796F" w:rsidRDefault="007C796F" w:rsidP="007C796F">
      <w:pPr>
        <w:numPr>
          <w:ilvl w:val="0"/>
          <w:numId w:val="2"/>
        </w:numPr>
        <w:spacing w:after="0"/>
        <w:rPr>
          <w:rFonts w:ascii="Palatino Linotype" w:hAnsi="Palatino Linotype"/>
        </w:rPr>
      </w:pPr>
      <w:r>
        <w:rPr>
          <w:rFonts w:ascii="Palatino Linotype" w:hAnsi="Palatino Linotype"/>
        </w:rPr>
        <w:t>Net-To-Gross Ratios by Program Strategy and/or Measure</w:t>
      </w:r>
    </w:p>
    <w:p w14:paraId="7059C87D" w14:textId="77777777" w:rsidR="007C796F" w:rsidRDefault="007C796F" w:rsidP="007C796F">
      <w:pPr>
        <w:numPr>
          <w:ilvl w:val="0"/>
          <w:numId w:val="2"/>
        </w:numPr>
        <w:spacing w:after="0"/>
        <w:rPr>
          <w:rFonts w:ascii="Palatino Linotype" w:hAnsi="Palatino Linotype"/>
        </w:rPr>
      </w:pPr>
      <w:r>
        <w:rPr>
          <w:rFonts w:ascii="Palatino Linotype" w:hAnsi="Palatino Linotype"/>
        </w:rPr>
        <w:t>Net Energy Savings (product of 3 and 4)</w:t>
      </w:r>
    </w:p>
    <w:p w14:paraId="3F6D44AB" w14:textId="77777777" w:rsidR="007C796F" w:rsidRDefault="007C796F" w:rsidP="007C796F">
      <w:pPr>
        <w:numPr>
          <w:ilvl w:val="0"/>
          <w:numId w:val="2"/>
        </w:numPr>
        <w:spacing w:after="0"/>
        <w:rPr>
          <w:rFonts w:ascii="Palatino Linotype" w:hAnsi="Palatino Linotype"/>
        </w:rPr>
      </w:pPr>
      <w:r>
        <w:rPr>
          <w:rFonts w:ascii="Palatino Linotype" w:hAnsi="Palatino Linotype"/>
        </w:rPr>
        <w:t>Effective Useful Life</w:t>
      </w:r>
    </w:p>
    <w:p w14:paraId="5DF02544" w14:textId="77777777" w:rsidR="007C796F" w:rsidRDefault="007C796F" w:rsidP="007C796F">
      <w:pPr>
        <w:numPr>
          <w:ilvl w:val="0"/>
          <w:numId w:val="2"/>
        </w:numPr>
        <w:spacing w:after="0"/>
        <w:rPr>
          <w:rFonts w:ascii="Palatino Linotype" w:hAnsi="Palatino Linotype"/>
        </w:rPr>
      </w:pPr>
      <w:r>
        <w:rPr>
          <w:rFonts w:ascii="Palatino Linotype" w:hAnsi="Palatino Linotype"/>
        </w:rPr>
        <w:t>Load Factor or Daily Load Shape used to transform annual electricity savings estimates into peak savings estimates</w:t>
      </w:r>
    </w:p>
    <w:p w14:paraId="60D2970A" w14:textId="77777777" w:rsidR="007C796F" w:rsidRPr="00AD49B5" w:rsidRDefault="007C796F" w:rsidP="007C796F">
      <w:pPr>
        <w:numPr>
          <w:ilvl w:val="0"/>
          <w:numId w:val="2"/>
        </w:numPr>
        <w:spacing w:after="0"/>
        <w:rPr>
          <w:rFonts w:ascii="Palatino Linotype" w:hAnsi="Palatino Linotype"/>
        </w:rPr>
      </w:pPr>
      <w:r>
        <w:rPr>
          <w:rFonts w:ascii="Palatino Linotype" w:hAnsi="Palatino Linotype"/>
        </w:rPr>
        <w:t xml:space="preserve">For custom projects, all components of the projects will be subject to review.  An evaluation based estimate of the savings claim for custom projects in the defined program year will be applied </w:t>
      </w:r>
    </w:p>
    <w:p w14:paraId="09F945B5" w14:textId="77777777" w:rsidR="0019619B" w:rsidRDefault="0019619B" w:rsidP="0019619B">
      <w:pPr>
        <w:spacing w:after="0"/>
        <w:ind w:left="720"/>
        <w:rPr>
          <w:rFonts w:ascii="Palatino Linotype" w:hAnsi="Palatino Linotype"/>
        </w:rPr>
      </w:pPr>
    </w:p>
    <w:p w14:paraId="3AF3F9E2" w14:textId="77777777" w:rsidR="001A24DD" w:rsidRDefault="001A24DD" w:rsidP="001A24DD">
      <w:pPr>
        <w:spacing w:after="0"/>
        <w:ind w:left="720"/>
        <w:rPr>
          <w:rFonts w:ascii="Palatino Linotype" w:hAnsi="Palatino Linotype"/>
          <w:b/>
        </w:rPr>
      </w:pPr>
      <w:r>
        <w:rPr>
          <w:rFonts w:ascii="Palatino Linotype" w:hAnsi="Palatino Linotype"/>
          <w:b/>
        </w:rPr>
        <w:t xml:space="preserve">Ex-Post </w:t>
      </w:r>
      <w:r w:rsidR="00444CFB">
        <w:rPr>
          <w:rFonts w:ascii="Palatino Linotype" w:hAnsi="Palatino Linotype"/>
          <w:b/>
        </w:rPr>
        <w:t>Results</w:t>
      </w:r>
    </w:p>
    <w:p w14:paraId="3CC637BB" w14:textId="77777777" w:rsidR="00DC6E81" w:rsidRDefault="00DC6E81" w:rsidP="001A24DD">
      <w:pPr>
        <w:spacing w:after="0"/>
        <w:ind w:left="720"/>
        <w:rPr>
          <w:rFonts w:ascii="Palatino Linotype" w:hAnsi="Palatino Linotype"/>
          <w:b/>
        </w:rPr>
      </w:pPr>
    </w:p>
    <w:p w14:paraId="0AA5526E" w14:textId="6F8A8E49" w:rsidR="005B173F" w:rsidRDefault="00CC1554" w:rsidP="005B173F">
      <w:pPr>
        <w:spacing w:after="0"/>
        <w:ind w:left="720"/>
        <w:jc w:val="both"/>
        <w:rPr>
          <w:rFonts w:ascii="Palatino Linotype" w:hAnsi="Palatino Linotype"/>
        </w:rPr>
      </w:pPr>
      <w:r>
        <w:rPr>
          <w:rFonts w:ascii="Palatino Linotype" w:hAnsi="Palatino Linotype"/>
        </w:rPr>
        <w:t xml:space="preserve">Commission staff’s evaluation contractors </w:t>
      </w:r>
      <w:r w:rsidR="00E2321D">
        <w:rPr>
          <w:rFonts w:ascii="Palatino Linotype" w:hAnsi="Palatino Linotype"/>
        </w:rPr>
        <w:t>produce</w:t>
      </w:r>
      <w:r>
        <w:rPr>
          <w:rFonts w:ascii="Palatino Linotype" w:hAnsi="Palatino Linotype"/>
        </w:rPr>
        <w:t>d</w:t>
      </w:r>
      <w:r w:rsidR="00E2321D">
        <w:rPr>
          <w:rFonts w:ascii="Palatino Linotype" w:hAnsi="Palatino Linotype"/>
        </w:rPr>
        <w:t xml:space="preserve"> </w:t>
      </w:r>
      <w:r w:rsidR="00EB2DC6">
        <w:rPr>
          <w:rFonts w:ascii="Palatino Linotype" w:hAnsi="Palatino Linotype"/>
        </w:rPr>
        <w:t xml:space="preserve">2013 </w:t>
      </w:r>
      <w:r w:rsidR="00E2321D">
        <w:rPr>
          <w:rFonts w:ascii="Palatino Linotype" w:hAnsi="Palatino Linotype"/>
        </w:rPr>
        <w:t>ex-post ESPI memos</w:t>
      </w:r>
      <w:r w:rsidR="00EB2DC6">
        <w:rPr>
          <w:rFonts w:ascii="Palatino Linotype" w:hAnsi="Palatino Linotype"/>
        </w:rPr>
        <w:t xml:space="preserve"> (hereafter </w:t>
      </w:r>
      <w:r w:rsidR="00987A4B">
        <w:rPr>
          <w:rFonts w:ascii="Palatino Linotype" w:hAnsi="Palatino Linotype"/>
        </w:rPr>
        <w:t xml:space="preserve">2013 </w:t>
      </w:r>
      <w:r w:rsidR="00EB2DC6">
        <w:rPr>
          <w:rFonts w:ascii="Palatino Linotype" w:hAnsi="Palatino Linotype"/>
        </w:rPr>
        <w:t>ESPI memos)</w:t>
      </w:r>
      <w:r w:rsidR="00E2321D">
        <w:rPr>
          <w:rFonts w:ascii="Palatino Linotype" w:hAnsi="Palatino Linotype"/>
        </w:rPr>
        <w:t xml:space="preserve"> for “uncertain measures” as identified in D.13-09-023.  </w:t>
      </w:r>
      <w:r w:rsidR="00C45CC4">
        <w:rPr>
          <w:rFonts w:ascii="Palatino Linotype" w:hAnsi="Palatino Linotype"/>
        </w:rPr>
        <w:t>The evaluation results are discussed in detail in the following mem</w:t>
      </w:r>
      <w:r w:rsidR="00444CFB">
        <w:rPr>
          <w:rFonts w:ascii="Palatino Linotype" w:hAnsi="Palatino Linotype"/>
        </w:rPr>
        <w:t>o</w:t>
      </w:r>
      <w:r w:rsidR="00C45CC4">
        <w:rPr>
          <w:rFonts w:ascii="Palatino Linotype" w:hAnsi="Palatino Linotype"/>
        </w:rPr>
        <w:t xml:space="preserve">: </w:t>
      </w:r>
    </w:p>
    <w:p w14:paraId="21704FDB" w14:textId="7D1EBE55" w:rsidR="005B173F" w:rsidRDefault="007823F5" w:rsidP="005B173F">
      <w:pPr>
        <w:spacing w:after="0"/>
        <w:ind w:left="1440"/>
        <w:jc w:val="both"/>
        <w:rPr>
          <w:rFonts w:ascii="Palatino Linotype" w:hAnsi="Palatino Linotype"/>
        </w:rPr>
      </w:pPr>
      <w:hyperlink r:id="rId9" w:history="1">
        <w:r w:rsidR="00C45CC4" w:rsidRPr="009E3D06">
          <w:rPr>
            <w:rStyle w:val="Hyperlink"/>
            <w:rFonts w:ascii="Palatino Linotype" w:hAnsi="Palatino Linotype"/>
          </w:rPr>
          <w:t>http://www.cpuc.ca.gov/NR/rdonlyres/3F9E5EF6-E399-47AB-80D3-821FB3C9FB76/0/2013ESPIMemosFinal.docx</w:t>
        </w:r>
      </w:hyperlink>
      <w:r w:rsidR="00444CFB">
        <w:rPr>
          <w:rStyle w:val="Hyperlink"/>
          <w:rFonts w:ascii="Palatino Linotype" w:hAnsi="Palatino Linotype"/>
        </w:rPr>
        <w:t>.</w:t>
      </w:r>
    </w:p>
    <w:p w14:paraId="3250F78A" w14:textId="77777777" w:rsidR="005C6CA0" w:rsidRDefault="005C6CA0" w:rsidP="005B173F">
      <w:pPr>
        <w:spacing w:after="0"/>
        <w:ind w:left="720"/>
        <w:jc w:val="both"/>
        <w:rPr>
          <w:rFonts w:ascii="Palatino Linotype" w:hAnsi="Palatino Linotype"/>
        </w:rPr>
      </w:pPr>
    </w:p>
    <w:p w14:paraId="1B54D89A" w14:textId="04C2C976" w:rsidR="00C45CC4" w:rsidRDefault="00CC1554" w:rsidP="005B173F">
      <w:pPr>
        <w:spacing w:after="0"/>
        <w:ind w:left="720"/>
        <w:jc w:val="both"/>
        <w:rPr>
          <w:rFonts w:ascii="Palatino Linotype" w:hAnsi="Palatino Linotype"/>
        </w:rPr>
      </w:pPr>
      <w:r>
        <w:rPr>
          <w:rFonts w:ascii="Palatino Linotype" w:hAnsi="Palatino Linotype"/>
        </w:rPr>
        <w:t xml:space="preserve">Table 3 shows which uncertain measures received ex-post parameter </w:t>
      </w:r>
      <w:r w:rsidR="00981E5B">
        <w:rPr>
          <w:rFonts w:ascii="Palatino Linotype" w:hAnsi="Palatino Linotype"/>
        </w:rPr>
        <w:t>updates based on field work or</w:t>
      </w:r>
      <w:r>
        <w:rPr>
          <w:rFonts w:ascii="Palatino Linotype" w:hAnsi="Palatino Linotype"/>
        </w:rPr>
        <w:t xml:space="preserve"> best available information</w:t>
      </w:r>
      <w:r w:rsidR="00981E5B">
        <w:rPr>
          <w:rFonts w:ascii="Palatino Linotype" w:hAnsi="Palatino Linotype"/>
        </w:rPr>
        <w:t xml:space="preserve">.  </w:t>
      </w:r>
      <w:r w:rsidR="00187D83">
        <w:rPr>
          <w:rFonts w:ascii="Palatino Linotype" w:hAnsi="Palatino Linotype"/>
        </w:rPr>
        <w:t>S</w:t>
      </w:r>
      <w:r w:rsidR="00A43510">
        <w:rPr>
          <w:rFonts w:ascii="Palatino Linotype" w:hAnsi="Palatino Linotype"/>
        </w:rPr>
        <w:t xml:space="preserve">ection 5 </w:t>
      </w:r>
      <w:r w:rsidR="00EB2DC6">
        <w:rPr>
          <w:rFonts w:ascii="Palatino Linotype" w:hAnsi="Palatino Linotype"/>
        </w:rPr>
        <w:t>shows the decision-</w:t>
      </w:r>
      <w:r w:rsidR="00A43510">
        <w:rPr>
          <w:rFonts w:ascii="Palatino Linotype" w:hAnsi="Palatino Linotype"/>
        </w:rPr>
        <w:t xml:space="preserve">tree for when Commission </w:t>
      </w:r>
      <w:r w:rsidR="00296840">
        <w:rPr>
          <w:rFonts w:ascii="Palatino Linotype" w:hAnsi="Palatino Linotype"/>
        </w:rPr>
        <w:t>s</w:t>
      </w:r>
      <w:r w:rsidR="00A43510">
        <w:rPr>
          <w:rFonts w:ascii="Palatino Linotype" w:hAnsi="Palatino Linotype"/>
        </w:rPr>
        <w:t xml:space="preserve">taff applied ex-post results </w:t>
      </w:r>
      <w:r w:rsidR="00A73277">
        <w:rPr>
          <w:rFonts w:ascii="Palatino Linotype" w:hAnsi="Palatino Linotype"/>
        </w:rPr>
        <w:t>or</w:t>
      </w:r>
      <w:r w:rsidR="00A43510">
        <w:rPr>
          <w:rFonts w:ascii="Palatino Linotype" w:hAnsi="Palatino Linotype"/>
        </w:rPr>
        <w:t xml:space="preserve"> passed thr</w:t>
      </w:r>
      <w:r w:rsidR="00954A06">
        <w:rPr>
          <w:rFonts w:ascii="Palatino Linotype" w:hAnsi="Palatino Linotype"/>
        </w:rPr>
        <w:t>ough</w:t>
      </w:r>
      <w:r w:rsidR="00A73277">
        <w:rPr>
          <w:rFonts w:ascii="Palatino Linotype" w:hAnsi="Palatino Linotype"/>
        </w:rPr>
        <w:t xml:space="preserve"> reported values</w:t>
      </w:r>
      <w:r w:rsidR="00A43510">
        <w:rPr>
          <w:rFonts w:ascii="Palatino Linotype" w:hAnsi="Palatino Linotype"/>
        </w:rPr>
        <w:t xml:space="preserve">.  </w:t>
      </w:r>
    </w:p>
    <w:p w14:paraId="2106535B" w14:textId="77777777" w:rsidR="001A24DD" w:rsidRDefault="001A24DD" w:rsidP="0019619B">
      <w:pPr>
        <w:spacing w:after="0"/>
        <w:ind w:left="720"/>
        <w:rPr>
          <w:rFonts w:ascii="Palatino Linotype" w:hAnsi="Palatino Linotype"/>
        </w:rPr>
      </w:pPr>
    </w:p>
    <w:p w14:paraId="0AB88182" w14:textId="77777777" w:rsidR="00CC1554" w:rsidRPr="00CC1554" w:rsidRDefault="00CC1554" w:rsidP="00104013">
      <w:pPr>
        <w:pStyle w:val="Caption"/>
        <w:keepNext/>
        <w:keepLines/>
        <w:rPr>
          <w:rFonts w:ascii="Palatino Linotype" w:hAnsi="Palatino Linotype"/>
        </w:rPr>
      </w:pPr>
      <w:r w:rsidRPr="00CC1554">
        <w:rPr>
          <w:rFonts w:ascii="Palatino Linotype" w:hAnsi="Palatino Linotype"/>
        </w:rPr>
        <w:lastRenderedPageBreak/>
        <w:t xml:space="preserve">Table </w:t>
      </w:r>
      <w:r w:rsidRPr="00CC1554">
        <w:rPr>
          <w:rFonts w:ascii="Palatino Linotype" w:hAnsi="Palatino Linotype"/>
        </w:rPr>
        <w:fldChar w:fldCharType="begin"/>
      </w:r>
      <w:r w:rsidRPr="00CC1554">
        <w:rPr>
          <w:rFonts w:ascii="Palatino Linotype" w:hAnsi="Palatino Linotype"/>
        </w:rPr>
        <w:instrText xml:space="preserve"> SEQ Table \* ARABIC </w:instrText>
      </w:r>
      <w:r w:rsidRPr="00CC1554">
        <w:rPr>
          <w:rFonts w:ascii="Palatino Linotype" w:hAnsi="Palatino Linotype"/>
        </w:rPr>
        <w:fldChar w:fldCharType="separate"/>
      </w:r>
      <w:r w:rsidR="00DD4114">
        <w:rPr>
          <w:rFonts w:ascii="Palatino Linotype" w:hAnsi="Palatino Linotype"/>
          <w:noProof/>
        </w:rPr>
        <w:t>3</w:t>
      </w:r>
      <w:r w:rsidRPr="00CC1554">
        <w:rPr>
          <w:rFonts w:ascii="Palatino Linotype" w:hAnsi="Palatino Linotype"/>
        </w:rPr>
        <w:fldChar w:fldCharType="end"/>
      </w:r>
      <w:r w:rsidRPr="00CC1554">
        <w:rPr>
          <w:rFonts w:ascii="Palatino Linotype" w:hAnsi="Palatino Linotype"/>
        </w:rPr>
        <w:t xml:space="preserve"> - Meas</w:t>
      </w:r>
      <w:r w:rsidR="00A43510">
        <w:rPr>
          <w:rFonts w:ascii="Palatino Linotype" w:hAnsi="Palatino Linotype"/>
        </w:rPr>
        <w:t>ures that</w:t>
      </w:r>
      <w:r w:rsidRPr="00CC1554">
        <w:rPr>
          <w:rFonts w:ascii="Palatino Linotype" w:hAnsi="Palatino Linotype"/>
        </w:rPr>
        <w:t xml:space="preserve"> Received Ex-Post Updates</w:t>
      </w:r>
    </w:p>
    <w:tbl>
      <w:tblPr>
        <w:tblW w:w="9360" w:type="dxa"/>
        <w:jc w:val="center"/>
        <w:tblCellMar>
          <w:left w:w="0" w:type="dxa"/>
          <w:right w:w="0" w:type="dxa"/>
        </w:tblCellMar>
        <w:tblLook w:val="04A0" w:firstRow="1" w:lastRow="0" w:firstColumn="1" w:lastColumn="0" w:noHBand="0" w:noVBand="1"/>
      </w:tblPr>
      <w:tblGrid>
        <w:gridCol w:w="4850"/>
        <w:gridCol w:w="4510"/>
      </w:tblGrid>
      <w:tr w:rsidR="00981E5B" w:rsidRPr="00CC1554" w14:paraId="40925206" w14:textId="77777777" w:rsidTr="005B173F">
        <w:trPr>
          <w:jc w:val="center"/>
        </w:trPr>
        <w:tc>
          <w:tcPr>
            <w:tcW w:w="48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4D1B96" w14:textId="77777777" w:rsidR="00981E5B" w:rsidRPr="00CC1554" w:rsidRDefault="00981E5B" w:rsidP="00104013">
            <w:pPr>
              <w:keepNext/>
              <w:keepLines/>
              <w:rPr>
                <w:rFonts w:ascii="Palatino Linotype" w:hAnsi="Palatino Linotype"/>
                <w:b/>
                <w:bCs/>
              </w:rPr>
            </w:pPr>
            <w:r w:rsidRPr="00CC1554">
              <w:rPr>
                <w:rFonts w:ascii="Palatino Linotype" w:hAnsi="Palatino Linotype"/>
                <w:b/>
                <w:bCs/>
              </w:rPr>
              <w:t xml:space="preserve">Applied results from field work </w:t>
            </w:r>
          </w:p>
        </w:tc>
        <w:tc>
          <w:tcPr>
            <w:tcW w:w="451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282EA6" w14:textId="77777777" w:rsidR="00981E5B" w:rsidRPr="00CC1554" w:rsidRDefault="00981E5B" w:rsidP="00104013">
            <w:pPr>
              <w:keepNext/>
              <w:keepLines/>
              <w:rPr>
                <w:rFonts w:ascii="Palatino Linotype" w:hAnsi="Palatino Linotype"/>
                <w:b/>
                <w:bCs/>
              </w:rPr>
            </w:pPr>
            <w:r w:rsidRPr="00CC1554">
              <w:rPr>
                <w:rFonts w:ascii="Palatino Linotype" w:hAnsi="Palatino Linotype"/>
                <w:b/>
                <w:bCs/>
              </w:rPr>
              <w:t>Used best available information</w:t>
            </w:r>
          </w:p>
        </w:tc>
      </w:tr>
      <w:tr w:rsidR="00981E5B" w:rsidRPr="00CC1554" w14:paraId="7D4F62CF" w14:textId="77777777" w:rsidTr="005B173F">
        <w:trPr>
          <w:jc w:val="center"/>
        </w:trPr>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1811A" w14:textId="77777777" w:rsidR="00981E5B" w:rsidRPr="00CC1554" w:rsidRDefault="00981E5B" w:rsidP="00104013">
            <w:pPr>
              <w:keepNext/>
              <w:keepLines/>
              <w:rPr>
                <w:rFonts w:ascii="Palatino Linotype" w:hAnsi="Palatino Linotype"/>
              </w:rPr>
            </w:pPr>
            <w:r w:rsidRPr="00CC1554">
              <w:rPr>
                <w:rFonts w:ascii="Palatino Linotype" w:hAnsi="Palatino Linotype"/>
              </w:rPr>
              <w:t>Behavior</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5FA2A2E0" w14:textId="77777777" w:rsidR="00981E5B" w:rsidRPr="00CC1554" w:rsidRDefault="00981E5B" w:rsidP="00104013">
            <w:pPr>
              <w:keepNext/>
              <w:keepLines/>
              <w:rPr>
                <w:rFonts w:ascii="Palatino Linotype" w:hAnsi="Palatino Linotype"/>
              </w:rPr>
            </w:pPr>
            <w:r w:rsidRPr="00CC1554">
              <w:rPr>
                <w:rFonts w:ascii="Palatino Linotype" w:hAnsi="Palatino Linotype"/>
              </w:rPr>
              <w:t>HVAC quality maintenance</w:t>
            </w:r>
          </w:p>
        </w:tc>
      </w:tr>
      <w:tr w:rsidR="00981E5B" w:rsidRPr="00CC1554" w14:paraId="6DE42DA3" w14:textId="77777777" w:rsidTr="005B173F">
        <w:trPr>
          <w:jc w:val="center"/>
        </w:trPr>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8E8D91" w14:textId="77777777" w:rsidR="00981E5B" w:rsidRPr="00CC1554" w:rsidRDefault="00981E5B" w:rsidP="00104013">
            <w:pPr>
              <w:keepNext/>
              <w:keepLines/>
              <w:rPr>
                <w:rFonts w:ascii="Palatino Linotype" w:hAnsi="Palatino Linotype"/>
              </w:rPr>
            </w:pPr>
            <w:r w:rsidRPr="00CC1554">
              <w:rPr>
                <w:rFonts w:ascii="Palatino Linotype" w:hAnsi="Palatino Linotype"/>
              </w:rPr>
              <w:t>Custom projects</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1CD9E2F2" w14:textId="77777777" w:rsidR="00981E5B" w:rsidRPr="00CC1554" w:rsidRDefault="00981E5B" w:rsidP="00104013">
            <w:pPr>
              <w:keepNext/>
              <w:keepLines/>
              <w:rPr>
                <w:rFonts w:ascii="Palatino Linotype" w:hAnsi="Palatino Linotype"/>
              </w:rPr>
            </w:pPr>
            <w:r w:rsidRPr="00CC1554">
              <w:rPr>
                <w:rFonts w:ascii="Palatino Linotype" w:hAnsi="Palatino Linotype"/>
              </w:rPr>
              <w:t>HVAC mini-split</w:t>
            </w:r>
          </w:p>
        </w:tc>
      </w:tr>
      <w:tr w:rsidR="00981E5B" w:rsidRPr="00CC1554" w14:paraId="0A08AEDF" w14:textId="77777777" w:rsidTr="005B173F">
        <w:trPr>
          <w:jc w:val="center"/>
        </w:trPr>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7AA3E" w14:textId="77777777" w:rsidR="00981E5B" w:rsidRPr="00CC1554" w:rsidRDefault="00981E5B" w:rsidP="00104013">
            <w:pPr>
              <w:keepNext/>
              <w:keepLines/>
              <w:rPr>
                <w:rFonts w:ascii="Palatino Linotype" w:hAnsi="Palatino Linotype"/>
              </w:rPr>
            </w:pPr>
            <w:r w:rsidRPr="00CC1554">
              <w:rPr>
                <w:rFonts w:ascii="Palatino Linotype" w:hAnsi="Palatino Linotype"/>
              </w:rPr>
              <w:t>Non-res new construction</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520AF93E" w14:textId="77777777" w:rsidR="00981E5B" w:rsidRPr="00CC1554" w:rsidRDefault="00981E5B" w:rsidP="00104013">
            <w:pPr>
              <w:keepNext/>
              <w:keepLines/>
              <w:rPr>
                <w:rFonts w:ascii="Palatino Linotype" w:hAnsi="Palatino Linotype"/>
              </w:rPr>
            </w:pPr>
            <w:r w:rsidRPr="00CC1554">
              <w:rPr>
                <w:rFonts w:ascii="Palatino Linotype" w:hAnsi="Palatino Linotype"/>
              </w:rPr>
              <w:t>Residential lighting (CFLs)</w:t>
            </w:r>
          </w:p>
        </w:tc>
      </w:tr>
      <w:tr w:rsidR="00981E5B" w:rsidRPr="00CC1554" w14:paraId="365DCC9D" w14:textId="77777777" w:rsidTr="005B173F">
        <w:trPr>
          <w:jc w:val="center"/>
        </w:trPr>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95158" w14:textId="77777777" w:rsidR="00981E5B" w:rsidRPr="00CC1554" w:rsidRDefault="00981E5B" w:rsidP="00104013">
            <w:pPr>
              <w:keepNext/>
              <w:keepLines/>
              <w:rPr>
                <w:rFonts w:ascii="Palatino Linotype" w:hAnsi="Palatino Linotype"/>
              </w:rPr>
            </w:pPr>
            <w:r w:rsidRPr="00CC1554">
              <w:rPr>
                <w:rFonts w:ascii="Palatino Linotype" w:hAnsi="Palatino Linotype"/>
              </w:rPr>
              <w:t xml:space="preserve">Sprinklers (Net-to-Gross only) </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6E225683" w14:textId="77777777" w:rsidR="00981E5B" w:rsidRPr="00CC1554" w:rsidRDefault="00981E5B" w:rsidP="00104013">
            <w:pPr>
              <w:keepNext/>
              <w:keepLines/>
              <w:rPr>
                <w:rFonts w:ascii="Palatino Linotype" w:hAnsi="Palatino Linotype"/>
              </w:rPr>
            </w:pPr>
            <w:r w:rsidRPr="00CC1554">
              <w:rPr>
                <w:rFonts w:ascii="Palatino Linotype" w:hAnsi="Palatino Linotype"/>
              </w:rPr>
              <w:t>Home upgrade program</w:t>
            </w:r>
          </w:p>
        </w:tc>
      </w:tr>
      <w:tr w:rsidR="00981E5B" w:rsidRPr="00CC1554" w14:paraId="5720688C" w14:textId="77777777" w:rsidTr="005B173F">
        <w:trPr>
          <w:jc w:val="center"/>
        </w:trPr>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F619A" w14:textId="77777777" w:rsidR="00981E5B" w:rsidRPr="00CC1554" w:rsidRDefault="00981E5B" w:rsidP="00104013">
            <w:pPr>
              <w:keepNext/>
              <w:keepLines/>
              <w:rPr>
                <w:rFonts w:ascii="Palatino Linotype" w:hAnsi="Palatino Linotype"/>
              </w:rPr>
            </w:pPr>
            <w:r w:rsidRPr="00CC1554">
              <w:rPr>
                <w:rFonts w:ascii="Palatino Linotype" w:hAnsi="Palatino Linotype"/>
              </w:rPr>
              <w:t>Pipe insulation Sprinklers (Net-to-Gross only)</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7CD01E1E" w14:textId="77777777" w:rsidR="00981E5B" w:rsidRPr="00CC1554" w:rsidRDefault="00981E5B" w:rsidP="00104013">
            <w:pPr>
              <w:keepNext/>
              <w:keepLines/>
              <w:rPr>
                <w:rFonts w:ascii="Palatino Linotype" w:hAnsi="Palatino Linotype"/>
              </w:rPr>
            </w:pPr>
            <w:r w:rsidRPr="00CC1554">
              <w:rPr>
                <w:rFonts w:ascii="Palatino Linotype" w:hAnsi="Palatino Linotype"/>
              </w:rPr>
              <w:t>Water kits</w:t>
            </w:r>
          </w:p>
        </w:tc>
      </w:tr>
      <w:tr w:rsidR="00981E5B" w:rsidRPr="00CC1554" w14:paraId="6B365853" w14:textId="77777777" w:rsidTr="005B173F">
        <w:trPr>
          <w:jc w:val="center"/>
        </w:trPr>
        <w:tc>
          <w:tcPr>
            <w:tcW w:w="48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7A23F" w14:textId="77777777" w:rsidR="00981E5B" w:rsidRPr="00CC1554" w:rsidRDefault="00981E5B" w:rsidP="00104013">
            <w:pPr>
              <w:keepNext/>
              <w:keepLines/>
              <w:rPr>
                <w:rFonts w:ascii="Palatino Linotype" w:hAnsi="Palatino Linotype"/>
              </w:rPr>
            </w:pPr>
            <w:r w:rsidRPr="00CC1554">
              <w:rPr>
                <w:rFonts w:ascii="Palatino Linotype" w:hAnsi="Palatino Linotype"/>
              </w:rPr>
              <w:t>Non-res downstream lighting</w:t>
            </w:r>
          </w:p>
        </w:tc>
        <w:tc>
          <w:tcPr>
            <w:tcW w:w="4510" w:type="dxa"/>
            <w:tcBorders>
              <w:top w:val="nil"/>
              <w:left w:val="nil"/>
              <w:bottom w:val="single" w:sz="8" w:space="0" w:color="auto"/>
              <w:right w:val="single" w:sz="8" w:space="0" w:color="auto"/>
            </w:tcBorders>
            <w:tcMar>
              <w:top w:w="0" w:type="dxa"/>
              <w:left w:w="108" w:type="dxa"/>
              <w:bottom w:w="0" w:type="dxa"/>
              <w:right w:w="108" w:type="dxa"/>
            </w:tcMar>
            <w:hideMark/>
          </w:tcPr>
          <w:p w14:paraId="69F80720" w14:textId="77777777" w:rsidR="00981E5B" w:rsidRPr="00CC1554" w:rsidRDefault="00981E5B" w:rsidP="00104013">
            <w:pPr>
              <w:keepNext/>
              <w:keepLines/>
              <w:rPr>
                <w:rFonts w:ascii="Palatino Linotype" w:hAnsi="Palatino Linotype"/>
              </w:rPr>
            </w:pPr>
            <w:r w:rsidRPr="00CC1554">
              <w:rPr>
                <w:rFonts w:ascii="Palatino Linotype" w:hAnsi="Palatino Linotype"/>
              </w:rPr>
              <w:t>Pool pump</w:t>
            </w:r>
          </w:p>
        </w:tc>
      </w:tr>
    </w:tbl>
    <w:p w14:paraId="1EE7521A" w14:textId="77777777" w:rsidR="00CC1554" w:rsidRDefault="00CC1554" w:rsidP="0019619B">
      <w:pPr>
        <w:spacing w:after="0"/>
        <w:ind w:left="720"/>
        <w:rPr>
          <w:rFonts w:ascii="Palatino Linotype" w:hAnsi="Palatino Linotype"/>
        </w:rPr>
      </w:pPr>
    </w:p>
    <w:p w14:paraId="2B45834B" w14:textId="60B917E2" w:rsidR="004E316A" w:rsidRPr="00C45CC4" w:rsidRDefault="00C45CC4" w:rsidP="00D76679">
      <w:pPr>
        <w:keepNext/>
        <w:keepLines/>
        <w:numPr>
          <w:ilvl w:val="0"/>
          <w:numId w:val="1"/>
        </w:numPr>
        <w:rPr>
          <w:rFonts w:ascii="Palatino Linotype" w:hAnsi="Palatino Linotype"/>
          <w:b/>
        </w:rPr>
      </w:pPr>
      <w:r>
        <w:rPr>
          <w:rFonts w:ascii="Palatino Linotype" w:hAnsi="Palatino Linotype"/>
          <w:b/>
        </w:rPr>
        <w:t>C</w:t>
      </w:r>
      <w:r w:rsidR="00C46A72">
        <w:rPr>
          <w:rFonts w:ascii="Palatino Linotype" w:hAnsi="Palatino Linotype"/>
          <w:b/>
        </w:rPr>
        <w:t>reation</w:t>
      </w:r>
      <w:r>
        <w:rPr>
          <w:rFonts w:ascii="Palatino Linotype" w:hAnsi="Palatino Linotype"/>
          <w:b/>
        </w:rPr>
        <w:t xml:space="preserve"> </w:t>
      </w:r>
      <w:r w:rsidR="00C46A72">
        <w:rPr>
          <w:rFonts w:ascii="Palatino Linotype" w:hAnsi="Palatino Linotype"/>
          <w:b/>
        </w:rPr>
        <w:t>of</w:t>
      </w:r>
      <w:r>
        <w:rPr>
          <w:rFonts w:ascii="Palatino Linotype" w:hAnsi="Palatino Linotype"/>
          <w:b/>
        </w:rPr>
        <w:t xml:space="preserve"> </w:t>
      </w:r>
      <w:r w:rsidR="00C46A72">
        <w:rPr>
          <w:rFonts w:ascii="Palatino Linotype" w:hAnsi="Palatino Linotype"/>
          <w:b/>
        </w:rPr>
        <w:t>Ex-Post</w:t>
      </w:r>
      <w:r>
        <w:rPr>
          <w:rFonts w:ascii="Palatino Linotype" w:hAnsi="Palatino Linotype"/>
          <w:b/>
        </w:rPr>
        <w:t xml:space="preserve"> Dataset</w:t>
      </w:r>
    </w:p>
    <w:p w14:paraId="24CA918A" w14:textId="182E2C87" w:rsidR="004E316A" w:rsidRPr="005B2FD2" w:rsidRDefault="004E316A" w:rsidP="00D76679">
      <w:pPr>
        <w:keepNext/>
        <w:keepLines/>
        <w:ind w:left="720"/>
        <w:jc w:val="both"/>
        <w:rPr>
          <w:rFonts w:ascii="Palatino Linotype" w:hAnsi="Palatino Linotype"/>
        </w:rPr>
      </w:pPr>
      <w:r w:rsidRPr="005B2FD2">
        <w:rPr>
          <w:rFonts w:ascii="Palatino Linotype" w:hAnsi="Palatino Linotype"/>
        </w:rPr>
        <w:t>Commission staff utiliz</w:t>
      </w:r>
      <w:r w:rsidR="00EB2DC6">
        <w:rPr>
          <w:rFonts w:ascii="Palatino Linotype" w:hAnsi="Palatino Linotype"/>
        </w:rPr>
        <w:t xml:space="preserve">ed the detailed quarterly tracking data </w:t>
      </w:r>
      <w:r w:rsidR="00C46A72">
        <w:rPr>
          <w:rFonts w:ascii="Palatino Linotype" w:hAnsi="Palatino Linotype"/>
        </w:rPr>
        <w:t xml:space="preserve">for 2013 </w:t>
      </w:r>
      <w:r w:rsidRPr="005B2FD2">
        <w:rPr>
          <w:rFonts w:ascii="Palatino Linotype" w:hAnsi="Palatino Linotype"/>
        </w:rPr>
        <w:t xml:space="preserve">as the foundation for prioritizing evaluation activities </w:t>
      </w:r>
      <w:r>
        <w:rPr>
          <w:rFonts w:ascii="Palatino Linotype" w:hAnsi="Palatino Linotype"/>
        </w:rPr>
        <w:t>and</w:t>
      </w:r>
      <w:r w:rsidRPr="005B2FD2">
        <w:rPr>
          <w:rFonts w:ascii="Palatino Linotype" w:hAnsi="Palatino Linotype"/>
        </w:rPr>
        <w:t xml:space="preserve"> applying updates from evaluation work. </w:t>
      </w:r>
      <w:r w:rsidR="000A6D70">
        <w:rPr>
          <w:rFonts w:ascii="Palatino Linotype" w:hAnsi="Palatino Linotype"/>
        </w:rPr>
        <w:t xml:space="preserve"> </w:t>
      </w:r>
      <w:r w:rsidRPr="005B2FD2">
        <w:rPr>
          <w:rFonts w:ascii="Palatino Linotype" w:hAnsi="Palatino Linotype"/>
        </w:rPr>
        <w:t xml:space="preserve">The </w:t>
      </w:r>
      <w:r w:rsidR="00EB2DC6">
        <w:rPr>
          <w:rFonts w:ascii="Palatino Linotype" w:hAnsi="Palatino Linotype"/>
        </w:rPr>
        <w:t xml:space="preserve">ex-post </w:t>
      </w:r>
      <w:r w:rsidR="00C66C2C">
        <w:rPr>
          <w:rFonts w:ascii="Palatino Linotype" w:hAnsi="Palatino Linotype"/>
        </w:rPr>
        <w:t xml:space="preserve">2013 </w:t>
      </w:r>
      <w:r w:rsidR="00EB2DC6">
        <w:rPr>
          <w:rFonts w:ascii="Palatino Linotype" w:hAnsi="Palatino Linotype"/>
        </w:rPr>
        <w:t>ESPI memos</w:t>
      </w:r>
      <w:r w:rsidRPr="005B2FD2">
        <w:rPr>
          <w:rFonts w:ascii="Palatino Linotype" w:hAnsi="Palatino Linotype"/>
        </w:rPr>
        <w:t xml:space="preserve"> </w:t>
      </w:r>
      <w:r>
        <w:rPr>
          <w:rFonts w:ascii="Palatino Linotype" w:hAnsi="Palatino Linotype"/>
        </w:rPr>
        <w:t xml:space="preserve">carried out </w:t>
      </w:r>
      <w:r w:rsidRPr="005B2FD2">
        <w:rPr>
          <w:rFonts w:ascii="Palatino Linotype" w:hAnsi="Palatino Linotype"/>
        </w:rPr>
        <w:t xml:space="preserve">Commission staff’s guidance to make updates to </w:t>
      </w:r>
      <w:r w:rsidR="00EB2DC6">
        <w:rPr>
          <w:rFonts w:ascii="Palatino Linotype" w:hAnsi="Palatino Linotype"/>
        </w:rPr>
        <w:t xml:space="preserve">the claims on a parameter basis.  </w:t>
      </w:r>
      <w:r w:rsidRPr="005B2FD2">
        <w:rPr>
          <w:rFonts w:ascii="Palatino Linotype" w:hAnsi="Palatino Linotype"/>
        </w:rPr>
        <w:t>Commission staff and evaluation contractors utilized the following options in making updates to the utility savings claims for the aforementioned parameters:</w:t>
      </w:r>
    </w:p>
    <w:p w14:paraId="0A3E24F1" w14:textId="77777777" w:rsidR="004E316A" w:rsidRPr="005B2FD2" w:rsidRDefault="004E316A" w:rsidP="005B173F">
      <w:pPr>
        <w:ind w:left="1440"/>
        <w:jc w:val="both"/>
        <w:rPr>
          <w:rFonts w:ascii="Palatino Linotype" w:hAnsi="Palatino Linotype"/>
        </w:rPr>
      </w:pPr>
      <w:r w:rsidRPr="005B2FD2">
        <w:rPr>
          <w:rFonts w:ascii="Palatino Linotype" w:hAnsi="Palatino Linotype"/>
        </w:rPr>
        <w:t>1. Pass through: Accept reported savings values for claims that do not fall within the frame of an impact evaluation (no change); or</w:t>
      </w:r>
    </w:p>
    <w:p w14:paraId="0D1BE1CF" w14:textId="7E4A5828" w:rsidR="004E316A" w:rsidRDefault="004E316A" w:rsidP="005B173F">
      <w:pPr>
        <w:ind w:left="1440"/>
        <w:jc w:val="both"/>
        <w:rPr>
          <w:rFonts w:ascii="Palatino Linotype" w:hAnsi="Palatino Linotype"/>
        </w:rPr>
      </w:pPr>
      <w:r w:rsidRPr="005B2FD2">
        <w:rPr>
          <w:rFonts w:ascii="Palatino Linotype" w:hAnsi="Palatino Linotype"/>
        </w:rPr>
        <w:t xml:space="preserve">2. Leverage results from a </w:t>
      </w:r>
      <w:r w:rsidR="00C66C2C">
        <w:rPr>
          <w:rFonts w:ascii="Palatino Linotype" w:hAnsi="Palatino Linotype"/>
        </w:rPr>
        <w:t xml:space="preserve">2013 </w:t>
      </w:r>
      <w:r w:rsidR="00EB2DC6">
        <w:rPr>
          <w:rFonts w:ascii="Palatino Linotype" w:hAnsi="Palatino Linotype"/>
        </w:rPr>
        <w:t>ESPI memo</w:t>
      </w:r>
      <w:r w:rsidRPr="005B2FD2">
        <w:rPr>
          <w:rFonts w:ascii="Palatino Linotype" w:hAnsi="Palatino Linotype"/>
        </w:rPr>
        <w:t>: Apply stratum-level results to records included in the frame of an impact evaluation. These data are considered “evaluated results” and are used in the context of this report.</w:t>
      </w:r>
    </w:p>
    <w:p w14:paraId="4C6F0A75" w14:textId="77777777" w:rsidR="005B173F" w:rsidRDefault="005B173F" w:rsidP="005B173F">
      <w:pPr>
        <w:jc w:val="both"/>
        <w:rPr>
          <w:rFonts w:ascii="Palatino Linotype" w:hAnsi="Palatino Linotype"/>
        </w:rPr>
      </w:pPr>
    </w:p>
    <w:p w14:paraId="01B274C8" w14:textId="77777777" w:rsidR="004E316A" w:rsidRPr="00503376" w:rsidRDefault="004E316A" w:rsidP="00EB2DC6">
      <w:pPr>
        <w:ind w:left="720"/>
        <w:rPr>
          <w:rFonts w:ascii="Palatino Linotype" w:hAnsi="Palatino Linotype"/>
          <w:b/>
        </w:rPr>
      </w:pPr>
      <w:r w:rsidRPr="00503376">
        <w:rPr>
          <w:rFonts w:ascii="Palatino Linotype" w:hAnsi="Palatino Linotype"/>
          <w:b/>
        </w:rPr>
        <w:t>Evaluation Decision Tree</w:t>
      </w:r>
    </w:p>
    <w:p w14:paraId="3636C113" w14:textId="447D5012" w:rsidR="004E316A" w:rsidRDefault="004E316A" w:rsidP="005B173F">
      <w:pPr>
        <w:ind w:left="720"/>
        <w:jc w:val="both"/>
        <w:rPr>
          <w:rFonts w:ascii="Palatino Linotype" w:hAnsi="Palatino Linotype"/>
        </w:rPr>
      </w:pPr>
      <w:r w:rsidRPr="005B2FD2">
        <w:rPr>
          <w:rFonts w:ascii="Palatino Linotype" w:hAnsi="Palatino Linotype"/>
        </w:rPr>
        <w:t xml:space="preserve">The decision tree in the following figure illustrates how </w:t>
      </w:r>
      <w:r w:rsidR="00EB2DC6">
        <w:rPr>
          <w:rFonts w:ascii="Palatino Linotype" w:hAnsi="Palatino Linotype"/>
        </w:rPr>
        <w:t xml:space="preserve">Commission Staff updated </w:t>
      </w:r>
      <w:r w:rsidRPr="005B2FD2">
        <w:rPr>
          <w:rFonts w:ascii="Palatino Linotype" w:hAnsi="Palatino Linotype"/>
        </w:rPr>
        <w:t>IOU claims with eva</w:t>
      </w:r>
      <w:r>
        <w:rPr>
          <w:rFonts w:ascii="Palatino Linotype" w:hAnsi="Palatino Linotype"/>
        </w:rPr>
        <w:t>luati</w:t>
      </w:r>
      <w:r w:rsidR="00EB2DC6">
        <w:rPr>
          <w:rFonts w:ascii="Palatino Linotype" w:hAnsi="Palatino Linotype"/>
        </w:rPr>
        <w:t xml:space="preserve">on results from the </w:t>
      </w:r>
      <w:r w:rsidR="00C66C2C">
        <w:rPr>
          <w:rFonts w:ascii="Palatino Linotype" w:hAnsi="Palatino Linotype"/>
        </w:rPr>
        <w:t xml:space="preserve">2013 </w:t>
      </w:r>
      <w:r w:rsidR="00EB2DC6">
        <w:rPr>
          <w:rFonts w:ascii="Palatino Linotype" w:hAnsi="Palatino Linotype"/>
        </w:rPr>
        <w:t>ESPI memos</w:t>
      </w:r>
      <w:r>
        <w:rPr>
          <w:rFonts w:ascii="Palatino Linotype" w:hAnsi="Palatino Linotype"/>
        </w:rPr>
        <w:t xml:space="preserve">. </w:t>
      </w:r>
    </w:p>
    <w:p w14:paraId="4DCE8B7D" w14:textId="77777777" w:rsidR="000A6D70" w:rsidRDefault="000A6D70" w:rsidP="005B173F">
      <w:pPr>
        <w:ind w:left="720"/>
        <w:jc w:val="both"/>
        <w:rPr>
          <w:rFonts w:ascii="Palatino Linotype" w:hAnsi="Palatino Linotype"/>
        </w:rPr>
      </w:pPr>
    </w:p>
    <w:p w14:paraId="07CA0797" w14:textId="2BFA7548" w:rsidR="000A6D70" w:rsidRDefault="000A6D70" w:rsidP="005B173F">
      <w:pPr>
        <w:ind w:left="720"/>
        <w:jc w:val="both"/>
        <w:rPr>
          <w:rFonts w:ascii="Palatino Linotype" w:hAnsi="Palatino Linotype"/>
        </w:rPr>
      </w:pPr>
      <w:r>
        <w:rPr>
          <w:rFonts w:ascii="Palatino Linotype" w:hAnsi="Palatino Linotype"/>
        </w:rPr>
        <w:lastRenderedPageBreak/>
        <w:t>More detailed information regarding how the ex-post dataset was created can be found in Appendix C.</w:t>
      </w:r>
    </w:p>
    <w:p w14:paraId="6D99B405" w14:textId="16758A19" w:rsidR="004E316A" w:rsidRPr="00EB2DC6" w:rsidRDefault="004E316A" w:rsidP="005B173F">
      <w:pPr>
        <w:pStyle w:val="Caption"/>
        <w:keepNext/>
        <w:keepLines/>
        <w:jc w:val="center"/>
        <w:rPr>
          <w:rFonts w:ascii="Palatino Linotype" w:hAnsi="Palatino Linotype"/>
        </w:rPr>
      </w:pPr>
      <w:r w:rsidRPr="00EB2DC6">
        <w:rPr>
          <w:rFonts w:ascii="Palatino Linotype" w:hAnsi="Palatino Linotype"/>
        </w:rPr>
        <w:t xml:space="preserve">Figure </w:t>
      </w:r>
      <w:r w:rsidR="00031217" w:rsidRPr="00EB2DC6">
        <w:rPr>
          <w:rFonts w:ascii="Palatino Linotype" w:hAnsi="Palatino Linotype"/>
        </w:rPr>
        <w:fldChar w:fldCharType="begin"/>
      </w:r>
      <w:r w:rsidR="00031217" w:rsidRPr="00EB2DC6">
        <w:rPr>
          <w:rFonts w:ascii="Palatino Linotype" w:hAnsi="Palatino Linotype"/>
        </w:rPr>
        <w:instrText xml:space="preserve"> SEQ Figure \* ARABIC </w:instrText>
      </w:r>
      <w:r w:rsidR="00031217" w:rsidRPr="00EB2DC6">
        <w:rPr>
          <w:rFonts w:ascii="Palatino Linotype" w:hAnsi="Palatino Linotype"/>
        </w:rPr>
        <w:fldChar w:fldCharType="separate"/>
      </w:r>
      <w:r w:rsidR="00DD4114">
        <w:rPr>
          <w:rFonts w:ascii="Palatino Linotype" w:hAnsi="Palatino Linotype"/>
          <w:noProof/>
        </w:rPr>
        <w:t>1</w:t>
      </w:r>
      <w:r w:rsidR="00031217" w:rsidRPr="00EB2DC6">
        <w:rPr>
          <w:rFonts w:ascii="Palatino Linotype" w:hAnsi="Palatino Linotype"/>
          <w:noProof/>
        </w:rPr>
        <w:fldChar w:fldCharType="end"/>
      </w:r>
      <w:r w:rsidRPr="00EB2DC6">
        <w:rPr>
          <w:rFonts w:ascii="Palatino Linotype" w:hAnsi="Palatino Linotype"/>
        </w:rPr>
        <w:t>: Evaluation Framework Decision Tree</w:t>
      </w:r>
      <w:r w:rsidR="00C66C2C">
        <w:rPr>
          <w:rFonts w:ascii="Palatino Linotype" w:hAnsi="Palatino Linotype"/>
        </w:rPr>
        <w:t xml:space="preserve"> 2013 ESPI</w:t>
      </w:r>
    </w:p>
    <w:p w14:paraId="3C9C048D" w14:textId="133BAA93" w:rsidR="004E316A" w:rsidRPr="00181EF9" w:rsidRDefault="000876D3" w:rsidP="005B173F">
      <w:pPr>
        <w:keepNext/>
        <w:keepLines/>
        <w:rPr>
          <w:rFonts w:ascii="Palatino Linotype" w:hAnsi="Palatino Linotype"/>
          <w:b/>
        </w:rPr>
      </w:pPr>
      <w:r>
        <w:object w:dxaOrig="13486" w:dyaOrig="11326" w14:anchorId="05B53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1.8pt" o:ole="">
            <v:imagedata r:id="rId10" o:title=""/>
          </v:shape>
          <o:OLEObject Type="Embed" ProgID="Visio.Drawing.15" ShapeID="_x0000_i1025" DrawAspect="Content" ObjectID="_1508141930" r:id="rId11"/>
        </w:object>
      </w:r>
    </w:p>
    <w:p w14:paraId="48675BE1" w14:textId="77777777" w:rsidR="004E316A" w:rsidRPr="00503376" w:rsidRDefault="004E316A" w:rsidP="004E316A">
      <w:pPr>
        <w:rPr>
          <w:rFonts w:ascii="Palatino Linotype" w:hAnsi="Palatino Linotype"/>
        </w:rPr>
      </w:pPr>
    </w:p>
    <w:p w14:paraId="728FAC6C" w14:textId="77777777" w:rsidR="00981E5B" w:rsidRDefault="00181EF9" w:rsidP="00CE7E8A">
      <w:pPr>
        <w:numPr>
          <w:ilvl w:val="0"/>
          <w:numId w:val="1"/>
        </w:numPr>
        <w:rPr>
          <w:rFonts w:ascii="Palatino Linotype" w:hAnsi="Palatino Linotype"/>
          <w:b/>
        </w:rPr>
      </w:pPr>
      <w:r w:rsidRPr="00181EF9">
        <w:rPr>
          <w:rFonts w:ascii="Palatino Linotype" w:hAnsi="Palatino Linotype"/>
          <w:b/>
        </w:rPr>
        <w:t xml:space="preserve">Biggest </w:t>
      </w:r>
      <w:r w:rsidR="004C3BDB">
        <w:rPr>
          <w:rFonts w:ascii="Palatino Linotype" w:hAnsi="Palatino Linotype"/>
          <w:b/>
        </w:rPr>
        <w:t xml:space="preserve">Drivers of </w:t>
      </w:r>
      <w:r w:rsidRPr="00181EF9">
        <w:rPr>
          <w:rFonts w:ascii="Palatino Linotype" w:hAnsi="Palatino Linotype"/>
          <w:b/>
        </w:rPr>
        <w:t>Change in Earnings</w:t>
      </w:r>
    </w:p>
    <w:p w14:paraId="2839C431" w14:textId="77777777" w:rsidR="009D1C53" w:rsidRDefault="004C3BDB" w:rsidP="000876D3">
      <w:pPr>
        <w:ind w:left="720"/>
        <w:jc w:val="both"/>
        <w:rPr>
          <w:rFonts w:ascii="Palatino Linotype" w:hAnsi="Palatino Linotype"/>
        </w:rPr>
      </w:pPr>
      <w:r>
        <w:rPr>
          <w:rFonts w:ascii="Palatino Linotype" w:hAnsi="Palatino Linotype"/>
        </w:rPr>
        <w:t xml:space="preserve">This section provides three different looks at the portfolio based on the 2013 ESPI process.  </w:t>
      </w:r>
    </w:p>
    <w:p w14:paraId="21B2FDE8" w14:textId="35D8F6BE" w:rsidR="009D1C53" w:rsidRDefault="009D1C53" w:rsidP="000876D3">
      <w:pPr>
        <w:ind w:left="720"/>
        <w:jc w:val="both"/>
        <w:rPr>
          <w:rFonts w:ascii="Palatino Linotype" w:hAnsi="Palatino Linotype"/>
        </w:rPr>
      </w:pPr>
      <w:r>
        <w:rPr>
          <w:rFonts w:ascii="Palatino Linotype" w:hAnsi="Palatino Linotype"/>
        </w:rPr>
        <w:t xml:space="preserve">The </w:t>
      </w:r>
      <w:r w:rsidR="00D76679">
        <w:rPr>
          <w:rFonts w:ascii="Palatino Linotype" w:hAnsi="Palatino Linotype"/>
        </w:rPr>
        <w:t>f</w:t>
      </w:r>
      <w:r w:rsidR="004C3BDB">
        <w:rPr>
          <w:rFonts w:ascii="Palatino Linotype" w:hAnsi="Palatino Linotype"/>
        </w:rPr>
        <w:t xml:space="preserve">irst </w:t>
      </w:r>
      <w:r>
        <w:rPr>
          <w:rFonts w:ascii="Palatino Linotype" w:hAnsi="Palatino Linotype"/>
        </w:rPr>
        <w:t>subsection</w:t>
      </w:r>
      <w:r w:rsidR="004C3BDB">
        <w:rPr>
          <w:rFonts w:ascii="Palatino Linotype" w:hAnsi="Palatino Linotype"/>
        </w:rPr>
        <w:t xml:space="preserve"> </w:t>
      </w:r>
      <w:r>
        <w:rPr>
          <w:rFonts w:ascii="Palatino Linotype" w:hAnsi="Palatino Linotype"/>
        </w:rPr>
        <w:t xml:space="preserve">presents the relative effect that updates to each of the parameters has on the overall claimed savings.  These graphs illustrate how the evaluated </w:t>
      </w:r>
      <w:r>
        <w:rPr>
          <w:rFonts w:ascii="Palatino Linotype" w:hAnsi="Palatino Linotype"/>
        </w:rPr>
        <w:lastRenderedPageBreak/>
        <w:t>parameters change the life cycle savings first from gross ex-ante to gross ex-post and then to net ex-post.  These graphs allow the</w:t>
      </w:r>
      <w:r w:rsidR="004C3BDB">
        <w:rPr>
          <w:rFonts w:ascii="Palatino Linotype" w:hAnsi="Palatino Linotype"/>
        </w:rPr>
        <w:t xml:space="preserve"> reader </w:t>
      </w:r>
      <w:r>
        <w:rPr>
          <w:rFonts w:ascii="Palatino Linotype" w:hAnsi="Palatino Linotype"/>
        </w:rPr>
        <w:t xml:space="preserve">to </w:t>
      </w:r>
      <w:r w:rsidR="004C3BDB">
        <w:rPr>
          <w:rFonts w:ascii="Palatino Linotype" w:hAnsi="Palatino Linotype"/>
        </w:rPr>
        <w:t xml:space="preserve">see which parameters </w:t>
      </w:r>
      <w:r w:rsidR="00BD0E26">
        <w:rPr>
          <w:rFonts w:ascii="Palatino Linotype" w:hAnsi="Palatino Linotype"/>
        </w:rPr>
        <w:t>had the biggest impact on evaluated net savings (</w:t>
      </w:r>
      <w:r w:rsidR="00C66C2C">
        <w:rPr>
          <w:rFonts w:ascii="Palatino Linotype" w:hAnsi="Palatino Linotype"/>
        </w:rPr>
        <w:t xml:space="preserve">i.e. </w:t>
      </w:r>
      <w:r w:rsidR="00BD0E26">
        <w:rPr>
          <w:rFonts w:ascii="Palatino Linotype" w:hAnsi="Palatino Linotype"/>
        </w:rPr>
        <w:t xml:space="preserve">was it the installation rate, or UES, or the EUL, </w:t>
      </w:r>
      <w:r>
        <w:rPr>
          <w:rFonts w:ascii="Palatino Linotype" w:hAnsi="Palatino Linotype"/>
        </w:rPr>
        <w:t>or the NTG</w:t>
      </w:r>
      <w:r w:rsidR="00BD0E26">
        <w:rPr>
          <w:rFonts w:ascii="Palatino Linotype" w:hAnsi="Palatino Linotype"/>
        </w:rPr>
        <w:t xml:space="preserve">).  </w:t>
      </w:r>
    </w:p>
    <w:p w14:paraId="1772C6F6" w14:textId="5F7E9896" w:rsidR="009D1C53" w:rsidRDefault="009D1C53" w:rsidP="000876D3">
      <w:pPr>
        <w:ind w:left="720"/>
        <w:jc w:val="both"/>
        <w:rPr>
          <w:rFonts w:ascii="Palatino Linotype" w:hAnsi="Palatino Linotype"/>
        </w:rPr>
      </w:pPr>
      <w:r>
        <w:rPr>
          <w:rFonts w:ascii="Palatino Linotype" w:hAnsi="Palatino Linotype"/>
        </w:rPr>
        <w:t>The n</w:t>
      </w:r>
      <w:r w:rsidR="00BD0E26">
        <w:rPr>
          <w:rFonts w:ascii="Palatino Linotype" w:hAnsi="Palatino Linotype"/>
        </w:rPr>
        <w:t xml:space="preserve">ext </w:t>
      </w:r>
      <w:r>
        <w:rPr>
          <w:rFonts w:ascii="Palatino Linotype" w:hAnsi="Palatino Linotype"/>
        </w:rPr>
        <w:t xml:space="preserve">subsection </w:t>
      </w:r>
      <w:r w:rsidR="00BD0E26">
        <w:rPr>
          <w:rFonts w:ascii="Palatino Linotype" w:hAnsi="Palatino Linotype"/>
        </w:rPr>
        <w:t>show</w:t>
      </w:r>
      <w:r>
        <w:rPr>
          <w:rFonts w:ascii="Palatino Linotype" w:hAnsi="Palatino Linotype"/>
        </w:rPr>
        <w:t>s how much of the net lifecycle savings values were</w:t>
      </w:r>
      <w:r w:rsidR="00BD0E26">
        <w:rPr>
          <w:rFonts w:ascii="Palatino Linotype" w:hAnsi="Palatino Linotype"/>
        </w:rPr>
        <w:t xml:space="preserve"> “Pass</w:t>
      </w:r>
      <w:r>
        <w:rPr>
          <w:rFonts w:ascii="Palatino Linotype" w:hAnsi="Palatino Linotype"/>
        </w:rPr>
        <w:t>ed</w:t>
      </w:r>
      <w:r w:rsidR="00BD0E26">
        <w:rPr>
          <w:rFonts w:ascii="Palatino Linotype" w:hAnsi="Palatino Linotype"/>
        </w:rPr>
        <w:t xml:space="preserve"> Thr</w:t>
      </w:r>
      <w:r w:rsidR="00954A06">
        <w:rPr>
          <w:rFonts w:ascii="Palatino Linotype" w:hAnsi="Palatino Linotype"/>
        </w:rPr>
        <w:t>ough</w:t>
      </w:r>
      <w:r w:rsidR="00BD0E26">
        <w:rPr>
          <w:rFonts w:ascii="Palatino Linotype" w:hAnsi="Palatino Linotype"/>
        </w:rPr>
        <w:t xml:space="preserve"> vs. Evaluated” so the reader can see what percent of </w:t>
      </w:r>
      <w:r>
        <w:rPr>
          <w:rFonts w:ascii="Palatino Linotype" w:hAnsi="Palatino Linotype"/>
        </w:rPr>
        <w:t>the portfolio savings</w:t>
      </w:r>
      <w:r w:rsidR="00BD0E26">
        <w:rPr>
          <w:rFonts w:ascii="Palatino Linotype" w:hAnsi="Palatino Linotype"/>
        </w:rPr>
        <w:t xml:space="preserve"> w</w:t>
      </w:r>
      <w:r>
        <w:rPr>
          <w:rFonts w:ascii="Palatino Linotype" w:hAnsi="Palatino Linotype"/>
        </w:rPr>
        <w:t>ere</w:t>
      </w:r>
      <w:r w:rsidR="00BD0E26">
        <w:rPr>
          <w:rFonts w:ascii="Palatino Linotype" w:hAnsi="Palatino Linotype"/>
        </w:rPr>
        <w:t xml:space="preserve"> “touched”</w:t>
      </w:r>
      <w:r w:rsidR="00C66C2C">
        <w:rPr>
          <w:rFonts w:ascii="Palatino Linotype" w:hAnsi="Palatino Linotype"/>
        </w:rPr>
        <w:t xml:space="preserve"> or updated</w:t>
      </w:r>
      <w:r w:rsidR="00BD0E26">
        <w:rPr>
          <w:rFonts w:ascii="Palatino Linotype" w:hAnsi="Palatino Linotype"/>
        </w:rPr>
        <w:t xml:space="preserve"> b</w:t>
      </w:r>
      <w:r w:rsidR="00C66C2C">
        <w:rPr>
          <w:rFonts w:ascii="Palatino Linotype" w:hAnsi="Palatino Linotype"/>
        </w:rPr>
        <w:t xml:space="preserve">ased on </w:t>
      </w:r>
      <w:r w:rsidR="00BD0E26">
        <w:rPr>
          <w:rFonts w:ascii="Palatino Linotype" w:hAnsi="Palatino Linotype"/>
        </w:rPr>
        <w:t xml:space="preserve">an evaluation result.  </w:t>
      </w:r>
    </w:p>
    <w:p w14:paraId="0CD6B302" w14:textId="5E3F2B17" w:rsidR="00981E5B" w:rsidRDefault="00BD0E26" w:rsidP="000876D3">
      <w:pPr>
        <w:ind w:left="720"/>
        <w:jc w:val="both"/>
        <w:rPr>
          <w:rFonts w:ascii="Palatino Linotype" w:hAnsi="Palatino Linotype"/>
        </w:rPr>
      </w:pPr>
      <w:r>
        <w:rPr>
          <w:rFonts w:ascii="Palatino Linotype" w:hAnsi="Palatino Linotype"/>
        </w:rPr>
        <w:t xml:space="preserve">Finally, </w:t>
      </w:r>
      <w:r w:rsidR="009D1C53">
        <w:rPr>
          <w:rFonts w:ascii="Palatino Linotype" w:hAnsi="Palatino Linotype"/>
        </w:rPr>
        <w:t>the last section presents the distribution of savings by ESPI measure group for those measures that make up the</w:t>
      </w:r>
      <w:r>
        <w:rPr>
          <w:rFonts w:ascii="Palatino Linotype" w:hAnsi="Palatino Linotype"/>
        </w:rPr>
        <w:t xml:space="preserve"> </w:t>
      </w:r>
      <w:r w:rsidR="00C66C2C">
        <w:rPr>
          <w:rFonts w:ascii="Palatino Linotype" w:hAnsi="Palatino Linotype"/>
        </w:rPr>
        <w:t xml:space="preserve">2013 </w:t>
      </w:r>
      <w:r>
        <w:rPr>
          <w:rFonts w:ascii="Palatino Linotype" w:hAnsi="Palatino Linotype"/>
        </w:rPr>
        <w:t xml:space="preserve">ESPI </w:t>
      </w:r>
      <w:r w:rsidR="009D1C53">
        <w:rPr>
          <w:rFonts w:ascii="Palatino Linotype" w:hAnsi="Palatino Linotype"/>
        </w:rPr>
        <w:t xml:space="preserve">Deemed Uncertain measures.  This allows the reader to see which </w:t>
      </w:r>
      <w:r>
        <w:rPr>
          <w:rFonts w:ascii="Palatino Linotype" w:hAnsi="Palatino Linotype"/>
        </w:rPr>
        <w:t>measure</w:t>
      </w:r>
      <w:r w:rsidR="009D1C53">
        <w:rPr>
          <w:rFonts w:ascii="Palatino Linotype" w:hAnsi="Palatino Linotype"/>
        </w:rPr>
        <w:t>s</w:t>
      </w:r>
      <w:r>
        <w:rPr>
          <w:rFonts w:ascii="Palatino Linotype" w:hAnsi="Palatino Linotype"/>
        </w:rPr>
        <w:t xml:space="preserve"> had the largest contribution to savings.</w:t>
      </w:r>
    </w:p>
    <w:p w14:paraId="239E0C4D" w14:textId="3865051F" w:rsidR="0070715B" w:rsidRDefault="009D1C53" w:rsidP="0070715B">
      <w:pPr>
        <w:numPr>
          <w:ilvl w:val="1"/>
          <w:numId w:val="1"/>
        </w:numPr>
        <w:rPr>
          <w:rFonts w:ascii="Palatino Linotype" w:hAnsi="Palatino Linotype"/>
          <w:b/>
        </w:rPr>
      </w:pPr>
      <w:r>
        <w:rPr>
          <w:rFonts w:ascii="Palatino Linotype" w:hAnsi="Palatino Linotype"/>
          <w:b/>
        </w:rPr>
        <w:t>Key Drivers of Evaluation Updates</w:t>
      </w:r>
      <w:r w:rsidR="008E77F7">
        <w:rPr>
          <w:rFonts w:ascii="Palatino Linotype" w:hAnsi="Palatino Linotype"/>
          <w:b/>
        </w:rPr>
        <w:t xml:space="preserve"> – Parameter Updates</w:t>
      </w:r>
    </w:p>
    <w:p w14:paraId="29C11295" w14:textId="1E2E3F4E" w:rsidR="00D43D9F" w:rsidRDefault="00D43D9F" w:rsidP="00D43D9F">
      <w:pPr>
        <w:ind w:left="720"/>
        <w:jc w:val="both"/>
        <w:rPr>
          <w:rFonts w:ascii="Palatino Linotype" w:hAnsi="Palatino Linotype"/>
        </w:rPr>
      </w:pPr>
      <w:r w:rsidRPr="00D43D9F">
        <w:rPr>
          <w:rFonts w:ascii="Palatino Linotype" w:hAnsi="Palatino Linotype"/>
        </w:rPr>
        <w:t>The following graphics provide an illustration of the</w:t>
      </w:r>
      <w:r>
        <w:rPr>
          <w:rFonts w:ascii="Palatino Linotype" w:hAnsi="Palatino Linotype"/>
        </w:rPr>
        <w:t xml:space="preserve"> </w:t>
      </w:r>
      <w:r w:rsidRPr="00D43D9F">
        <w:rPr>
          <w:rFonts w:ascii="Palatino Linotype" w:hAnsi="Palatino Linotype"/>
        </w:rPr>
        <w:t xml:space="preserve">relative influence of each parameter update. </w:t>
      </w:r>
      <w:r w:rsidR="00BF181F">
        <w:rPr>
          <w:rFonts w:ascii="Palatino Linotype" w:hAnsi="Palatino Linotype"/>
        </w:rPr>
        <w:t xml:space="preserve"> </w:t>
      </w:r>
      <w:r w:rsidRPr="00D43D9F">
        <w:rPr>
          <w:rFonts w:ascii="Palatino Linotype" w:hAnsi="Palatino Linotype"/>
        </w:rPr>
        <w:t>Several</w:t>
      </w:r>
      <w:r>
        <w:rPr>
          <w:rFonts w:ascii="Palatino Linotype" w:hAnsi="Palatino Linotype"/>
        </w:rPr>
        <w:t xml:space="preserve"> </w:t>
      </w:r>
      <w:r w:rsidRPr="00D43D9F">
        <w:rPr>
          <w:rFonts w:ascii="Palatino Linotype" w:hAnsi="Palatino Linotype"/>
        </w:rPr>
        <w:t>caveats are necessary to appreciate the limitations</w:t>
      </w:r>
      <w:r w:rsidR="00BF181F">
        <w:rPr>
          <w:rFonts w:ascii="Palatino Linotype" w:hAnsi="Palatino Linotype"/>
        </w:rPr>
        <w:t xml:space="preserve"> </w:t>
      </w:r>
      <w:r w:rsidRPr="00D43D9F">
        <w:rPr>
          <w:rFonts w:ascii="Palatino Linotype" w:hAnsi="Palatino Linotype"/>
        </w:rPr>
        <w:t>and value of these graphics, and in fact their calculation</w:t>
      </w:r>
      <w:r w:rsidR="00BF181F">
        <w:rPr>
          <w:rFonts w:ascii="Palatino Linotype" w:hAnsi="Palatino Linotype"/>
        </w:rPr>
        <w:t xml:space="preserve"> </w:t>
      </w:r>
      <w:r w:rsidRPr="00D43D9F">
        <w:rPr>
          <w:rFonts w:ascii="Palatino Linotype" w:hAnsi="Palatino Linotype"/>
        </w:rPr>
        <w:t xml:space="preserve">is pathway-dependent. </w:t>
      </w:r>
      <w:r w:rsidR="00BF181F">
        <w:rPr>
          <w:rFonts w:ascii="Palatino Linotype" w:hAnsi="Palatino Linotype"/>
        </w:rPr>
        <w:t xml:space="preserve"> </w:t>
      </w:r>
      <w:r w:rsidRPr="00D43D9F">
        <w:rPr>
          <w:rFonts w:ascii="Palatino Linotype" w:hAnsi="Palatino Linotype"/>
        </w:rPr>
        <w:t>First, more than</w:t>
      </w:r>
      <w:r w:rsidR="00BF181F">
        <w:rPr>
          <w:rFonts w:ascii="Palatino Linotype" w:hAnsi="Palatino Linotype"/>
        </w:rPr>
        <w:t xml:space="preserve"> </w:t>
      </w:r>
      <w:r w:rsidRPr="00D43D9F">
        <w:rPr>
          <w:rFonts w:ascii="Palatino Linotype" w:hAnsi="Palatino Linotype"/>
        </w:rPr>
        <w:t>one parameter update may have been applied to a</w:t>
      </w:r>
      <w:r w:rsidR="00BF181F">
        <w:rPr>
          <w:rFonts w:ascii="Palatino Linotype" w:hAnsi="Palatino Linotype"/>
        </w:rPr>
        <w:t xml:space="preserve"> </w:t>
      </w:r>
      <w:r w:rsidRPr="00D43D9F">
        <w:rPr>
          <w:rFonts w:ascii="Palatino Linotype" w:hAnsi="Palatino Linotype"/>
        </w:rPr>
        <w:t>measure (e.g. unit energy savings and installation rate</w:t>
      </w:r>
      <w:r w:rsidR="00BF181F">
        <w:rPr>
          <w:rFonts w:ascii="Palatino Linotype" w:hAnsi="Palatino Linotype"/>
        </w:rPr>
        <w:t xml:space="preserve"> </w:t>
      </w:r>
      <w:r w:rsidRPr="00D43D9F">
        <w:rPr>
          <w:rFonts w:ascii="Palatino Linotype" w:hAnsi="Palatino Linotype"/>
        </w:rPr>
        <w:t xml:space="preserve">were updated for an installed light bulb). </w:t>
      </w:r>
      <w:r w:rsidR="00BF181F">
        <w:rPr>
          <w:rFonts w:ascii="Palatino Linotype" w:hAnsi="Palatino Linotype"/>
        </w:rPr>
        <w:t xml:space="preserve"> </w:t>
      </w:r>
      <w:r w:rsidRPr="00D43D9F">
        <w:rPr>
          <w:rFonts w:ascii="Palatino Linotype" w:hAnsi="Palatino Linotype"/>
        </w:rPr>
        <w:t>Hence the</w:t>
      </w:r>
      <w:r w:rsidR="00BF181F">
        <w:rPr>
          <w:rFonts w:ascii="Palatino Linotype" w:hAnsi="Palatino Linotype"/>
        </w:rPr>
        <w:t xml:space="preserve"> </w:t>
      </w:r>
      <w:r w:rsidRPr="00D43D9F">
        <w:rPr>
          <w:rFonts w:ascii="Palatino Linotype" w:hAnsi="Palatino Linotype"/>
        </w:rPr>
        <w:t>influence of each parameter cannot be completely</w:t>
      </w:r>
      <w:r w:rsidR="00BF181F">
        <w:rPr>
          <w:rFonts w:ascii="Palatino Linotype" w:hAnsi="Palatino Linotype"/>
        </w:rPr>
        <w:t xml:space="preserve"> </w:t>
      </w:r>
      <w:r w:rsidRPr="00D43D9F">
        <w:rPr>
          <w:rFonts w:ascii="Palatino Linotype" w:hAnsi="Palatino Linotype"/>
        </w:rPr>
        <w:t xml:space="preserve">isolated but they interact. </w:t>
      </w:r>
      <w:r w:rsidR="00BF181F">
        <w:rPr>
          <w:rFonts w:ascii="Palatino Linotype" w:hAnsi="Palatino Linotype"/>
        </w:rPr>
        <w:t xml:space="preserve"> </w:t>
      </w:r>
      <w:r w:rsidRPr="00D43D9F">
        <w:rPr>
          <w:rFonts w:ascii="Palatino Linotype" w:hAnsi="Palatino Linotype"/>
        </w:rPr>
        <w:t>Second, the parameter may</w:t>
      </w:r>
      <w:r w:rsidR="00BF181F">
        <w:rPr>
          <w:rFonts w:ascii="Palatino Linotype" w:hAnsi="Palatino Linotype"/>
        </w:rPr>
        <w:t xml:space="preserve"> </w:t>
      </w:r>
      <w:r w:rsidRPr="00D43D9F">
        <w:rPr>
          <w:rFonts w:ascii="Palatino Linotype" w:hAnsi="Palatino Linotype"/>
        </w:rPr>
        <w:t>have multiple factors within its calculation that could</w:t>
      </w:r>
      <w:r w:rsidR="00BF181F">
        <w:rPr>
          <w:rFonts w:ascii="Palatino Linotype" w:hAnsi="Palatino Linotype"/>
        </w:rPr>
        <w:t xml:space="preserve"> </w:t>
      </w:r>
      <w:r w:rsidRPr="00D43D9F">
        <w:rPr>
          <w:rFonts w:ascii="Palatino Linotype" w:hAnsi="Palatino Linotype"/>
        </w:rPr>
        <w:t>influence the value (e.g. hours of use within the unit</w:t>
      </w:r>
      <w:r w:rsidR="00BF181F">
        <w:rPr>
          <w:rFonts w:ascii="Palatino Linotype" w:hAnsi="Palatino Linotype"/>
        </w:rPr>
        <w:t xml:space="preserve"> </w:t>
      </w:r>
      <w:r w:rsidRPr="00D43D9F">
        <w:rPr>
          <w:rFonts w:ascii="Palatino Linotype" w:hAnsi="Palatino Linotype"/>
        </w:rPr>
        <w:t>energy savings) and this break down is at the highest</w:t>
      </w:r>
      <w:r w:rsidR="00BF181F">
        <w:rPr>
          <w:rFonts w:ascii="Palatino Linotype" w:hAnsi="Palatino Linotype"/>
        </w:rPr>
        <w:t xml:space="preserve"> </w:t>
      </w:r>
      <w:r w:rsidRPr="00D43D9F">
        <w:rPr>
          <w:rFonts w:ascii="Palatino Linotype" w:hAnsi="Palatino Linotype"/>
        </w:rPr>
        <w:t xml:space="preserve">parameter level. </w:t>
      </w:r>
      <w:r w:rsidR="00BF181F">
        <w:rPr>
          <w:rFonts w:ascii="Palatino Linotype" w:hAnsi="Palatino Linotype"/>
        </w:rPr>
        <w:t xml:space="preserve"> </w:t>
      </w:r>
      <w:r w:rsidRPr="00D43D9F">
        <w:rPr>
          <w:rFonts w:ascii="Palatino Linotype" w:hAnsi="Palatino Linotype"/>
        </w:rPr>
        <w:t>Third, the parameter gauging program</w:t>
      </w:r>
      <w:r w:rsidR="00BF181F">
        <w:rPr>
          <w:rFonts w:ascii="Palatino Linotype" w:hAnsi="Palatino Linotype"/>
        </w:rPr>
        <w:t xml:space="preserve"> </w:t>
      </w:r>
      <w:r w:rsidRPr="00D43D9F">
        <w:rPr>
          <w:rFonts w:ascii="Palatino Linotype" w:hAnsi="Palatino Linotype"/>
        </w:rPr>
        <w:t>influence (the net to gross ratio) is estimated in</w:t>
      </w:r>
      <w:r w:rsidR="00BF181F">
        <w:rPr>
          <w:rFonts w:ascii="Palatino Linotype" w:hAnsi="Palatino Linotype"/>
        </w:rPr>
        <w:t xml:space="preserve"> </w:t>
      </w:r>
      <w:r w:rsidRPr="00D43D9F">
        <w:rPr>
          <w:rFonts w:ascii="Palatino Linotype" w:hAnsi="Palatino Linotype"/>
        </w:rPr>
        <w:t>the program plans, and in many cases updated with</w:t>
      </w:r>
      <w:r w:rsidR="00BF181F">
        <w:rPr>
          <w:rFonts w:ascii="Palatino Linotype" w:hAnsi="Palatino Linotype"/>
        </w:rPr>
        <w:t xml:space="preserve"> </w:t>
      </w:r>
      <w:r w:rsidRPr="00D43D9F">
        <w:rPr>
          <w:rFonts w:ascii="Palatino Linotype" w:hAnsi="Palatino Linotype"/>
        </w:rPr>
        <w:t xml:space="preserve">evaluated results. </w:t>
      </w:r>
      <w:r w:rsidR="00BF181F">
        <w:rPr>
          <w:rFonts w:ascii="Palatino Linotype" w:hAnsi="Palatino Linotype"/>
        </w:rPr>
        <w:t xml:space="preserve"> </w:t>
      </w:r>
      <w:r w:rsidRPr="00D43D9F">
        <w:rPr>
          <w:rFonts w:ascii="Palatino Linotype" w:hAnsi="Palatino Linotype"/>
        </w:rPr>
        <w:t>The graphics show the program</w:t>
      </w:r>
      <w:r w:rsidR="00BF181F">
        <w:rPr>
          <w:rFonts w:ascii="Palatino Linotype" w:hAnsi="Palatino Linotype"/>
        </w:rPr>
        <w:t xml:space="preserve"> </w:t>
      </w:r>
      <w:r w:rsidRPr="00D43D9F">
        <w:rPr>
          <w:rFonts w:ascii="Palatino Linotype" w:hAnsi="Palatino Linotype"/>
        </w:rPr>
        <w:t>attribution in its two constituent parts to illustrate</w:t>
      </w:r>
      <w:r w:rsidR="00BF181F">
        <w:rPr>
          <w:rFonts w:ascii="Palatino Linotype" w:hAnsi="Palatino Linotype"/>
        </w:rPr>
        <w:t xml:space="preserve"> </w:t>
      </w:r>
      <w:r w:rsidRPr="00D43D9F">
        <w:rPr>
          <w:rFonts w:ascii="Palatino Linotype" w:hAnsi="Palatino Linotype"/>
        </w:rPr>
        <w:t>the additional net adjustments from evaluation</w:t>
      </w:r>
      <w:r w:rsidR="00BF181F">
        <w:rPr>
          <w:rFonts w:ascii="Palatino Linotype" w:hAnsi="Palatino Linotype"/>
        </w:rPr>
        <w:t xml:space="preserve"> </w:t>
      </w:r>
      <w:r w:rsidRPr="00D43D9F">
        <w:rPr>
          <w:rFonts w:ascii="Palatino Linotype" w:hAnsi="Palatino Linotype"/>
        </w:rPr>
        <w:t>relative to the already assumed net</w:t>
      </w:r>
      <w:r w:rsidR="00BF181F">
        <w:rPr>
          <w:rFonts w:ascii="Palatino Linotype" w:hAnsi="Palatino Linotype"/>
        </w:rPr>
        <w:t xml:space="preserve"> </w:t>
      </w:r>
      <w:r w:rsidRPr="00D43D9F">
        <w:rPr>
          <w:rFonts w:ascii="Palatino Linotype" w:hAnsi="Palatino Linotype"/>
        </w:rPr>
        <w:t>adjustment.</w:t>
      </w:r>
      <w:r w:rsidR="00BF181F">
        <w:rPr>
          <w:rFonts w:ascii="Palatino Linotype" w:hAnsi="Palatino Linotype"/>
        </w:rPr>
        <w:t xml:space="preserve">  </w:t>
      </w:r>
      <w:r w:rsidRPr="00D43D9F">
        <w:rPr>
          <w:rFonts w:ascii="Palatino Linotype" w:hAnsi="Palatino Linotype"/>
        </w:rPr>
        <w:t>The following parameter adjustments in the graphics</w:t>
      </w:r>
      <w:r w:rsidR="00BF181F">
        <w:rPr>
          <w:rFonts w:ascii="Palatino Linotype" w:hAnsi="Palatino Linotype"/>
        </w:rPr>
        <w:t xml:space="preserve"> </w:t>
      </w:r>
      <w:r w:rsidRPr="00D43D9F">
        <w:rPr>
          <w:rFonts w:ascii="Palatino Linotype" w:hAnsi="Palatino Linotype"/>
        </w:rPr>
        <w:t>are defined as follows:</w:t>
      </w:r>
    </w:p>
    <w:p w14:paraId="10EB3ED9" w14:textId="1587D6DD" w:rsidR="00BF181F" w:rsidRPr="00BF181F" w:rsidRDefault="00BF181F" w:rsidP="00BF181F">
      <w:pPr>
        <w:pStyle w:val="ListParagraph"/>
        <w:numPr>
          <w:ilvl w:val="0"/>
          <w:numId w:val="4"/>
        </w:numPr>
        <w:jc w:val="both"/>
        <w:rPr>
          <w:rFonts w:ascii="Palatino Linotype" w:hAnsi="Palatino Linotype"/>
        </w:rPr>
      </w:pPr>
      <w:r w:rsidRPr="00BF181F">
        <w:rPr>
          <w:rFonts w:ascii="Palatino Linotype" w:hAnsi="Palatino Linotype"/>
        </w:rPr>
        <w:t>Installation Rate – the units were verified as installed and operating</w:t>
      </w:r>
    </w:p>
    <w:p w14:paraId="685D64AD" w14:textId="581ADC2D" w:rsidR="00BF181F" w:rsidRDefault="00BF181F" w:rsidP="00BF181F">
      <w:pPr>
        <w:pStyle w:val="ListParagraph"/>
        <w:numPr>
          <w:ilvl w:val="0"/>
          <w:numId w:val="4"/>
        </w:numPr>
        <w:jc w:val="both"/>
        <w:rPr>
          <w:rFonts w:ascii="Palatino Linotype" w:hAnsi="Palatino Linotype"/>
        </w:rPr>
      </w:pPr>
      <w:r>
        <w:rPr>
          <w:rFonts w:ascii="Palatino Linotype" w:hAnsi="Palatino Linotype"/>
        </w:rPr>
        <w:t xml:space="preserve">Unit Energy Savings &amp; </w:t>
      </w:r>
      <w:r w:rsidRPr="00BF181F">
        <w:rPr>
          <w:rFonts w:ascii="Palatino Linotype" w:hAnsi="Palatino Linotype"/>
        </w:rPr>
        <w:t xml:space="preserve">Realization Rate </w:t>
      </w:r>
      <w:r>
        <w:rPr>
          <w:rFonts w:ascii="Palatino Linotype" w:hAnsi="Palatino Linotype"/>
        </w:rPr>
        <w:t>Adjustment</w:t>
      </w:r>
    </w:p>
    <w:p w14:paraId="68A8CA5C" w14:textId="418BCE1C" w:rsidR="00BF181F" w:rsidRDefault="00BF181F" w:rsidP="00BF181F">
      <w:pPr>
        <w:pStyle w:val="ListParagraph"/>
        <w:numPr>
          <w:ilvl w:val="1"/>
          <w:numId w:val="6"/>
        </w:numPr>
        <w:jc w:val="both"/>
        <w:rPr>
          <w:rFonts w:ascii="Palatino Linotype" w:hAnsi="Palatino Linotype"/>
        </w:rPr>
      </w:pPr>
      <w:r>
        <w:rPr>
          <w:rFonts w:ascii="Palatino Linotype" w:hAnsi="Palatino Linotype"/>
        </w:rPr>
        <w:t xml:space="preserve">Unit Energy Savings (UES) – </w:t>
      </w:r>
      <w:r w:rsidRPr="00BF181F">
        <w:rPr>
          <w:rFonts w:ascii="Palatino Linotype" w:hAnsi="Palatino Linotype"/>
        </w:rPr>
        <w:t>savings per unit installed (</w:t>
      </w:r>
      <w:r>
        <w:rPr>
          <w:rFonts w:ascii="Palatino Linotype" w:hAnsi="Palatino Linotype"/>
        </w:rPr>
        <w:t>primarily</w:t>
      </w:r>
      <w:r w:rsidRPr="00BF181F">
        <w:rPr>
          <w:rFonts w:ascii="Palatino Linotype" w:hAnsi="Palatino Linotype"/>
        </w:rPr>
        <w:t xml:space="preserve"> for deemed measures)</w:t>
      </w:r>
    </w:p>
    <w:p w14:paraId="5BA66662" w14:textId="67CE54C7" w:rsidR="00BF181F" w:rsidRPr="00BF181F" w:rsidRDefault="00BF181F" w:rsidP="00BF181F">
      <w:pPr>
        <w:pStyle w:val="ListParagraph"/>
        <w:numPr>
          <w:ilvl w:val="1"/>
          <w:numId w:val="6"/>
        </w:numPr>
        <w:jc w:val="both"/>
        <w:rPr>
          <w:rFonts w:ascii="Palatino Linotype" w:hAnsi="Palatino Linotype"/>
        </w:rPr>
      </w:pPr>
      <w:r>
        <w:rPr>
          <w:rFonts w:ascii="Palatino Linotype" w:hAnsi="Palatino Linotype"/>
        </w:rPr>
        <w:lastRenderedPageBreak/>
        <w:t xml:space="preserve">Realization Rate (RR) – savings </w:t>
      </w:r>
      <w:r w:rsidRPr="00BF181F">
        <w:rPr>
          <w:rFonts w:ascii="Palatino Linotype" w:hAnsi="Palatino Linotype"/>
        </w:rPr>
        <w:t>achieved versus expected (ratio used</w:t>
      </w:r>
      <w:r>
        <w:rPr>
          <w:rFonts w:ascii="Palatino Linotype" w:hAnsi="Palatino Linotype"/>
        </w:rPr>
        <w:t xml:space="preserve"> primarily</w:t>
      </w:r>
      <w:r w:rsidRPr="00BF181F">
        <w:rPr>
          <w:rFonts w:ascii="Palatino Linotype" w:hAnsi="Palatino Linotype"/>
        </w:rPr>
        <w:t xml:space="preserve"> for custom projects)</w:t>
      </w:r>
    </w:p>
    <w:p w14:paraId="413ADB87" w14:textId="6C7A25DC" w:rsidR="00BF181F" w:rsidRDefault="00BF181F" w:rsidP="00BF181F">
      <w:pPr>
        <w:pStyle w:val="ListParagraph"/>
        <w:numPr>
          <w:ilvl w:val="0"/>
          <w:numId w:val="4"/>
        </w:numPr>
        <w:jc w:val="both"/>
        <w:rPr>
          <w:rFonts w:ascii="Palatino Linotype" w:hAnsi="Palatino Linotype"/>
        </w:rPr>
      </w:pPr>
      <w:r>
        <w:rPr>
          <w:rFonts w:ascii="Palatino Linotype" w:hAnsi="Palatino Linotype"/>
        </w:rPr>
        <w:t>Effective Useful Life/Remaining Useful Life Adjustment</w:t>
      </w:r>
      <w:r w:rsidR="006B1EB4">
        <w:rPr>
          <w:rFonts w:ascii="Palatino Linotype" w:hAnsi="Palatino Linotype"/>
        </w:rPr>
        <w:t xml:space="preserve"> – adjustments made to EUL and RUL</w:t>
      </w:r>
    </w:p>
    <w:p w14:paraId="28FFD291" w14:textId="419904B3" w:rsidR="00BF181F" w:rsidRPr="00BF181F" w:rsidRDefault="00BF181F" w:rsidP="00BF181F">
      <w:pPr>
        <w:pStyle w:val="ListParagraph"/>
        <w:numPr>
          <w:ilvl w:val="0"/>
          <w:numId w:val="4"/>
        </w:numPr>
        <w:jc w:val="both"/>
        <w:rPr>
          <w:rFonts w:ascii="Palatino Linotype" w:hAnsi="Palatino Linotype"/>
        </w:rPr>
      </w:pPr>
      <w:r w:rsidRPr="00BF181F">
        <w:rPr>
          <w:rFonts w:ascii="Palatino Linotype" w:hAnsi="Palatino Linotype"/>
        </w:rPr>
        <w:t xml:space="preserve">Program </w:t>
      </w:r>
      <w:r w:rsidR="006B1EB4">
        <w:rPr>
          <w:rFonts w:ascii="Palatino Linotype" w:hAnsi="Palatino Linotype"/>
        </w:rPr>
        <w:t>I</w:t>
      </w:r>
      <w:r w:rsidRPr="00BF181F">
        <w:rPr>
          <w:rFonts w:ascii="Palatino Linotype" w:hAnsi="Palatino Linotype"/>
        </w:rPr>
        <w:t>nfluence Expected Adjustment (reported) – planning assumption of program influence</w:t>
      </w:r>
    </w:p>
    <w:p w14:paraId="16B25391" w14:textId="0D4FEAB0" w:rsidR="00BF181F" w:rsidRPr="00BF181F" w:rsidRDefault="00BF181F" w:rsidP="00BF181F">
      <w:pPr>
        <w:pStyle w:val="ListParagraph"/>
        <w:numPr>
          <w:ilvl w:val="0"/>
          <w:numId w:val="4"/>
        </w:numPr>
        <w:jc w:val="both"/>
        <w:rPr>
          <w:rFonts w:ascii="Palatino Linotype" w:hAnsi="Palatino Linotype"/>
        </w:rPr>
      </w:pPr>
      <w:r w:rsidRPr="00BF181F">
        <w:rPr>
          <w:rFonts w:ascii="Palatino Linotype" w:hAnsi="Palatino Linotype"/>
        </w:rPr>
        <w:t xml:space="preserve">Program </w:t>
      </w:r>
      <w:r w:rsidR="006B1EB4">
        <w:rPr>
          <w:rFonts w:ascii="Palatino Linotype" w:hAnsi="Palatino Linotype"/>
        </w:rPr>
        <w:t>I</w:t>
      </w:r>
      <w:r w:rsidRPr="00BF181F">
        <w:rPr>
          <w:rFonts w:ascii="Palatino Linotype" w:hAnsi="Palatino Linotype"/>
        </w:rPr>
        <w:t xml:space="preserve">nfluence Evaluation Adjustment – incremental difference in program influence </w:t>
      </w:r>
      <w:r w:rsidR="006B1EB4">
        <w:rPr>
          <w:rFonts w:ascii="Palatino Linotype" w:hAnsi="Palatino Linotype"/>
        </w:rPr>
        <w:t>found through field evaluation</w:t>
      </w:r>
    </w:p>
    <w:p w14:paraId="786A9E62" w14:textId="77777777" w:rsidR="00BF181F" w:rsidRDefault="00BF181F" w:rsidP="00BF181F">
      <w:pPr>
        <w:ind w:left="720"/>
        <w:jc w:val="both"/>
        <w:rPr>
          <w:rFonts w:ascii="Palatino Linotype" w:hAnsi="Palatino Linotype"/>
        </w:rPr>
      </w:pPr>
    </w:p>
    <w:p w14:paraId="148B4368" w14:textId="1551ADBC" w:rsidR="006B1EB4" w:rsidRDefault="00BF181F" w:rsidP="00BF181F">
      <w:pPr>
        <w:ind w:left="720"/>
        <w:jc w:val="both"/>
        <w:rPr>
          <w:rFonts w:ascii="Palatino Linotype" w:hAnsi="Palatino Linotype"/>
        </w:rPr>
      </w:pPr>
      <w:r w:rsidRPr="00BF181F">
        <w:rPr>
          <w:rFonts w:ascii="Palatino Linotype" w:hAnsi="Palatino Linotype"/>
        </w:rPr>
        <w:t>The statewide results are provided</w:t>
      </w:r>
      <w:r>
        <w:rPr>
          <w:rFonts w:ascii="Palatino Linotype" w:hAnsi="Palatino Linotype"/>
        </w:rPr>
        <w:t xml:space="preserve"> </w:t>
      </w:r>
      <w:r w:rsidRPr="00BF181F">
        <w:rPr>
          <w:rFonts w:ascii="Palatino Linotype" w:hAnsi="Palatino Linotype"/>
        </w:rPr>
        <w:t>in the following series of graphics</w:t>
      </w:r>
      <w:r w:rsidR="00296840">
        <w:rPr>
          <w:rStyle w:val="FootnoteReference"/>
          <w:rFonts w:ascii="Palatino Linotype" w:hAnsi="Palatino Linotype"/>
        </w:rPr>
        <w:footnoteReference w:id="4"/>
      </w:r>
      <w:r w:rsidR="006B1EB4">
        <w:rPr>
          <w:rFonts w:ascii="Palatino Linotype" w:hAnsi="Palatino Linotype"/>
        </w:rPr>
        <w:t xml:space="preserve">, while the </w:t>
      </w:r>
      <w:r w:rsidR="006B1EB4" w:rsidRPr="00BF181F">
        <w:rPr>
          <w:rFonts w:ascii="Palatino Linotype" w:hAnsi="Palatino Linotype"/>
        </w:rPr>
        <w:t>utility specific</w:t>
      </w:r>
      <w:r w:rsidR="006B1EB4">
        <w:rPr>
          <w:rFonts w:ascii="Palatino Linotype" w:hAnsi="Palatino Linotype"/>
        </w:rPr>
        <w:t xml:space="preserve"> results are presented in the attached appendix</w:t>
      </w:r>
      <w:r w:rsidRPr="00BF181F">
        <w:rPr>
          <w:rFonts w:ascii="Palatino Linotype" w:hAnsi="Palatino Linotype"/>
        </w:rPr>
        <w:t xml:space="preserve">. </w:t>
      </w:r>
      <w:r w:rsidR="006B1EB4">
        <w:rPr>
          <w:rFonts w:ascii="Palatino Linotype" w:hAnsi="Palatino Linotype"/>
        </w:rPr>
        <w:t xml:space="preserve"> </w:t>
      </w:r>
    </w:p>
    <w:p w14:paraId="5A9282DA" w14:textId="77777777" w:rsidR="008E77F7" w:rsidRDefault="008E77F7" w:rsidP="00BF181F">
      <w:pPr>
        <w:ind w:left="720"/>
        <w:jc w:val="both"/>
        <w:rPr>
          <w:rFonts w:ascii="Palatino Linotype" w:hAnsi="Palatino Linotype"/>
        </w:rPr>
      </w:pPr>
    </w:p>
    <w:p w14:paraId="75EFDEAE" w14:textId="60F1EFF1" w:rsidR="00D43D9F" w:rsidRDefault="0019347D" w:rsidP="00497A7D">
      <w:pPr>
        <w:rPr>
          <w:rFonts w:ascii="Palatino Linotype" w:hAnsi="Palatino Linotype"/>
          <w:b/>
        </w:rPr>
      </w:pPr>
      <w:r>
        <w:rPr>
          <w:rFonts w:ascii="Palatino Linotype" w:hAnsi="Palatino Linotype"/>
          <w:b/>
          <w:noProof/>
        </w:rPr>
        <w:drawing>
          <wp:inline distT="0" distB="0" distL="0" distR="0" wp14:anchorId="0C6A4F0E" wp14:editId="4CDA714B">
            <wp:extent cx="5943600" cy="31912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pic:spPr>
                </pic:pic>
              </a:graphicData>
            </a:graphic>
          </wp:inline>
        </w:drawing>
      </w:r>
    </w:p>
    <w:p w14:paraId="7339267B" w14:textId="134F6038" w:rsidR="0019347D" w:rsidRDefault="0019347D" w:rsidP="00497A7D">
      <w:pPr>
        <w:rPr>
          <w:rFonts w:ascii="Palatino Linotype" w:hAnsi="Palatino Linotype"/>
        </w:rPr>
      </w:pPr>
      <w:r>
        <w:rPr>
          <w:rFonts w:ascii="Palatino Linotype" w:hAnsi="Palatino Linotype"/>
          <w:noProof/>
        </w:rPr>
        <w:lastRenderedPageBreak/>
        <w:drawing>
          <wp:inline distT="0" distB="0" distL="0" distR="0" wp14:anchorId="144D725B" wp14:editId="137BC305">
            <wp:extent cx="5943600" cy="319125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pic:spPr>
                </pic:pic>
              </a:graphicData>
            </a:graphic>
          </wp:inline>
        </w:drawing>
      </w:r>
    </w:p>
    <w:p w14:paraId="07F84598" w14:textId="77777777" w:rsidR="008E77F7" w:rsidRPr="00BF181F" w:rsidRDefault="008E77F7" w:rsidP="00497A7D">
      <w:pPr>
        <w:rPr>
          <w:rFonts w:ascii="Palatino Linotype" w:hAnsi="Palatino Linotype"/>
        </w:rPr>
      </w:pPr>
    </w:p>
    <w:p w14:paraId="0DF5498C" w14:textId="6349C4C4" w:rsidR="00FC2235" w:rsidRDefault="00FC2235" w:rsidP="00497A7D">
      <w:pPr>
        <w:rPr>
          <w:rFonts w:ascii="Palatino Linotype" w:hAnsi="Palatino Linotype"/>
          <w:b/>
        </w:rPr>
      </w:pPr>
      <w:r>
        <w:rPr>
          <w:rFonts w:ascii="Palatino Linotype" w:hAnsi="Palatino Linotype"/>
          <w:b/>
          <w:noProof/>
        </w:rPr>
        <w:drawing>
          <wp:inline distT="0" distB="0" distL="0" distR="0" wp14:anchorId="797A1DDA" wp14:editId="200E6D7E">
            <wp:extent cx="5943600" cy="31912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pic:spPr>
                </pic:pic>
              </a:graphicData>
            </a:graphic>
          </wp:inline>
        </w:drawing>
      </w:r>
    </w:p>
    <w:p w14:paraId="1D3CA02E" w14:textId="1C1D3C7D" w:rsidR="00BF181F" w:rsidRDefault="00FC2235" w:rsidP="00497A7D">
      <w:pPr>
        <w:rPr>
          <w:rFonts w:ascii="Palatino Linotype" w:hAnsi="Palatino Linotype"/>
          <w:b/>
        </w:rPr>
      </w:pPr>
      <w:r>
        <w:rPr>
          <w:rFonts w:ascii="Palatino Linotype" w:hAnsi="Palatino Linotype"/>
          <w:b/>
          <w:noProof/>
        </w:rPr>
        <w:lastRenderedPageBreak/>
        <w:drawing>
          <wp:inline distT="0" distB="0" distL="0" distR="0" wp14:anchorId="709FCDE4" wp14:editId="28A64CB8">
            <wp:extent cx="5943600" cy="31912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pic:spPr>
                </pic:pic>
              </a:graphicData>
            </a:graphic>
          </wp:inline>
        </w:drawing>
      </w:r>
    </w:p>
    <w:p w14:paraId="3099665A" w14:textId="77777777" w:rsidR="008E77F7" w:rsidRDefault="008E77F7" w:rsidP="00497A7D">
      <w:pPr>
        <w:rPr>
          <w:rFonts w:ascii="Palatino Linotype" w:hAnsi="Palatino Linotype"/>
          <w:b/>
        </w:rPr>
      </w:pPr>
    </w:p>
    <w:p w14:paraId="0EDA095C" w14:textId="44F14E00" w:rsidR="00FC2235" w:rsidRDefault="000D2304" w:rsidP="00497A7D">
      <w:pPr>
        <w:rPr>
          <w:rFonts w:ascii="Palatino Linotype" w:hAnsi="Palatino Linotype"/>
          <w:b/>
        </w:rPr>
      </w:pPr>
      <w:r>
        <w:rPr>
          <w:rFonts w:ascii="Palatino Linotype" w:hAnsi="Palatino Linotype"/>
          <w:b/>
          <w:noProof/>
        </w:rPr>
        <w:drawing>
          <wp:inline distT="0" distB="0" distL="0" distR="0" wp14:anchorId="50B9406A" wp14:editId="784A4185">
            <wp:extent cx="5943600" cy="31912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91256"/>
                    </a:xfrm>
                    <a:prstGeom prst="rect">
                      <a:avLst/>
                    </a:prstGeom>
                    <a:noFill/>
                  </pic:spPr>
                </pic:pic>
              </a:graphicData>
            </a:graphic>
          </wp:inline>
        </w:drawing>
      </w:r>
    </w:p>
    <w:p w14:paraId="4E24424E" w14:textId="6E22E339" w:rsidR="006B1EB4" w:rsidRDefault="000D2304" w:rsidP="00497A7D">
      <w:pPr>
        <w:rPr>
          <w:rFonts w:ascii="Palatino Linotype" w:hAnsi="Palatino Linotype"/>
          <w:b/>
          <w:noProof/>
        </w:rPr>
      </w:pPr>
      <w:r>
        <w:rPr>
          <w:rFonts w:ascii="Palatino Linotype" w:hAnsi="Palatino Linotype"/>
          <w:b/>
          <w:noProof/>
        </w:rPr>
        <w:t xml:space="preserve"> </w:t>
      </w:r>
    </w:p>
    <w:p w14:paraId="29614FFC" w14:textId="6F3F49BB" w:rsidR="005E75AE" w:rsidRDefault="005E75AE" w:rsidP="00497A7D">
      <w:pPr>
        <w:rPr>
          <w:rFonts w:ascii="Palatino Linotype" w:hAnsi="Palatino Linotype"/>
          <w:b/>
        </w:rPr>
      </w:pPr>
    </w:p>
    <w:p w14:paraId="4B73FA7E" w14:textId="77777777" w:rsidR="008E77F7" w:rsidRDefault="008E77F7" w:rsidP="008E77F7">
      <w:pPr>
        <w:ind w:left="1440"/>
        <w:rPr>
          <w:rFonts w:ascii="Palatino Linotype" w:hAnsi="Palatino Linotype"/>
          <w:b/>
        </w:rPr>
      </w:pPr>
    </w:p>
    <w:p w14:paraId="07E65568" w14:textId="2E1EDF83" w:rsidR="0070715B" w:rsidRDefault="008E77F7" w:rsidP="0070715B">
      <w:pPr>
        <w:numPr>
          <w:ilvl w:val="1"/>
          <w:numId w:val="1"/>
        </w:numPr>
        <w:rPr>
          <w:rFonts w:ascii="Palatino Linotype" w:hAnsi="Palatino Linotype"/>
          <w:b/>
        </w:rPr>
      </w:pPr>
      <w:r>
        <w:rPr>
          <w:rFonts w:ascii="Palatino Linotype" w:hAnsi="Palatino Linotype"/>
          <w:b/>
        </w:rPr>
        <w:t xml:space="preserve">Key Drivers of Evaluation Updates – </w:t>
      </w:r>
      <w:r w:rsidR="0070715B">
        <w:rPr>
          <w:rFonts w:ascii="Palatino Linotype" w:hAnsi="Palatino Linotype"/>
          <w:b/>
        </w:rPr>
        <w:t>Pass-</w:t>
      </w:r>
      <w:r w:rsidR="005F5CD8">
        <w:rPr>
          <w:rFonts w:ascii="Palatino Linotype" w:hAnsi="Palatino Linotype"/>
          <w:b/>
        </w:rPr>
        <w:t xml:space="preserve">Through </w:t>
      </w:r>
      <w:r w:rsidR="0070715B">
        <w:rPr>
          <w:rFonts w:ascii="Palatino Linotype" w:hAnsi="Palatino Linotype"/>
          <w:b/>
        </w:rPr>
        <w:t>versus Evaluated</w:t>
      </w:r>
      <w:r>
        <w:rPr>
          <w:rFonts w:ascii="Palatino Linotype" w:hAnsi="Palatino Linotype"/>
          <w:b/>
        </w:rPr>
        <w:t xml:space="preserve"> Records</w:t>
      </w:r>
    </w:p>
    <w:p w14:paraId="2A6733A0" w14:textId="16B089DD" w:rsidR="00E72043" w:rsidRDefault="00E72043" w:rsidP="008E77F7">
      <w:pPr>
        <w:ind w:left="1440"/>
        <w:jc w:val="both"/>
        <w:rPr>
          <w:rFonts w:ascii="Palatino Linotype" w:hAnsi="Palatino Linotype"/>
        </w:rPr>
      </w:pPr>
      <w:r>
        <w:rPr>
          <w:rFonts w:ascii="Palatino Linotype" w:hAnsi="Palatino Linotype"/>
        </w:rPr>
        <w:t>These charts show the evaluation lifecycle savings and what percent received an evaluation update for each parameter.</w:t>
      </w:r>
      <w:r w:rsidR="001C4946">
        <w:rPr>
          <w:rFonts w:ascii="Palatino Linotype" w:hAnsi="Palatino Linotype"/>
        </w:rPr>
        <w:t xml:space="preserve">  The 2013 ESPI memos only covered a portion of the portfolio,</w:t>
      </w:r>
      <w:r w:rsidR="0002723B">
        <w:rPr>
          <w:rFonts w:ascii="Palatino Linotype" w:hAnsi="Palatino Linotype"/>
        </w:rPr>
        <w:t xml:space="preserve"> with 31% of the deemed lifecycle kWh savings and 54% of the lifecycle therm savings being passed through.  However, for custom measures, 94% of lifecycle kWh savings and 96% of lifecycle therm savings received some evaluation update.  Notably, for custom and deemed measures, the EUL parameter </w:t>
      </w:r>
      <w:r w:rsidR="0087574D">
        <w:rPr>
          <w:rFonts w:ascii="Palatino Linotype" w:hAnsi="Palatino Linotype"/>
        </w:rPr>
        <w:t>was the least evaluated</w:t>
      </w:r>
      <w:r w:rsidR="001C4946">
        <w:rPr>
          <w:rFonts w:ascii="Palatino Linotype" w:hAnsi="Palatino Linotype"/>
        </w:rPr>
        <w:t xml:space="preserve">.  </w:t>
      </w:r>
      <w:r w:rsidR="005F5CD8" w:rsidRPr="008E77F7">
        <w:rPr>
          <w:rFonts w:ascii="Palatino Linotype" w:hAnsi="Palatino Linotype"/>
        </w:rPr>
        <w:t xml:space="preserve">The lifecycle </w:t>
      </w:r>
      <w:r w:rsidR="008E77F7">
        <w:rPr>
          <w:rFonts w:ascii="Palatino Linotype" w:hAnsi="Palatino Linotype"/>
        </w:rPr>
        <w:t>t</w:t>
      </w:r>
      <w:r w:rsidR="005F5CD8" w:rsidRPr="008E77F7">
        <w:rPr>
          <w:rFonts w:ascii="Palatino Linotype" w:hAnsi="Palatino Linotype"/>
        </w:rPr>
        <w:t>herms chart is included, but please note that in order to calculate a percentage of savings that were pass</w:t>
      </w:r>
      <w:r w:rsidR="00D76679">
        <w:rPr>
          <w:rFonts w:ascii="Palatino Linotype" w:hAnsi="Palatino Linotype"/>
        </w:rPr>
        <w:t>ed</w:t>
      </w:r>
      <w:r w:rsidR="005F5CD8" w:rsidRPr="008E77F7">
        <w:rPr>
          <w:rFonts w:ascii="Palatino Linotype" w:hAnsi="Palatino Linotype"/>
        </w:rPr>
        <w:t xml:space="preserve"> through, an absolute value of the savings was taken.</w:t>
      </w:r>
    </w:p>
    <w:p w14:paraId="3010096B" w14:textId="48714AD4" w:rsidR="00D43D9F" w:rsidRDefault="00D43D9F" w:rsidP="00E72043">
      <w:pPr>
        <w:ind w:left="1440"/>
        <w:rPr>
          <w:rFonts w:ascii="Palatino Linotype" w:hAnsi="Palatino Linotype"/>
        </w:rPr>
      </w:pPr>
    </w:p>
    <w:p w14:paraId="628B3E29" w14:textId="188995E9" w:rsidR="0057152C" w:rsidRDefault="0057152C" w:rsidP="00497A7D">
      <w:pPr>
        <w:rPr>
          <w:rFonts w:ascii="Palatino Linotype" w:hAnsi="Palatino Linotype"/>
        </w:rPr>
      </w:pPr>
      <w:r>
        <w:rPr>
          <w:rFonts w:ascii="Palatino Linotype" w:hAnsi="Palatino Linotype"/>
          <w:noProof/>
        </w:rPr>
        <w:drawing>
          <wp:inline distT="0" distB="0" distL="0" distR="0" wp14:anchorId="1FFE1EEC" wp14:editId="24B4D58D">
            <wp:extent cx="5943600" cy="357530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75304"/>
                    </a:xfrm>
                    <a:prstGeom prst="rect">
                      <a:avLst/>
                    </a:prstGeom>
                    <a:noFill/>
                  </pic:spPr>
                </pic:pic>
              </a:graphicData>
            </a:graphic>
          </wp:inline>
        </w:drawing>
      </w:r>
    </w:p>
    <w:p w14:paraId="32CC41F2" w14:textId="479D99D9" w:rsidR="0057152C" w:rsidRDefault="0057152C" w:rsidP="00E72043">
      <w:pPr>
        <w:ind w:left="1440"/>
        <w:rPr>
          <w:rFonts w:ascii="Palatino Linotype" w:hAnsi="Palatino Linotype"/>
        </w:rPr>
      </w:pPr>
    </w:p>
    <w:p w14:paraId="72461892" w14:textId="4C88B527" w:rsidR="00D43D9F" w:rsidRPr="00E72043" w:rsidRDefault="00A906C1" w:rsidP="00497A7D">
      <w:pPr>
        <w:rPr>
          <w:rFonts w:ascii="Palatino Linotype" w:hAnsi="Palatino Linotype"/>
        </w:rPr>
      </w:pPr>
      <w:r>
        <w:rPr>
          <w:rFonts w:ascii="Palatino Linotype" w:hAnsi="Palatino Linotype"/>
          <w:noProof/>
        </w:rPr>
        <w:lastRenderedPageBreak/>
        <w:drawing>
          <wp:inline distT="0" distB="0" distL="0" distR="0" wp14:anchorId="7233C00F" wp14:editId="339A6BF7">
            <wp:extent cx="5943600" cy="35753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75304"/>
                    </a:xfrm>
                    <a:prstGeom prst="rect">
                      <a:avLst/>
                    </a:prstGeom>
                    <a:noFill/>
                  </pic:spPr>
                </pic:pic>
              </a:graphicData>
            </a:graphic>
          </wp:inline>
        </w:drawing>
      </w:r>
    </w:p>
    <w:p w14:paraId="36B41748" w14:textId="7F3A0109" w:rsidR="0070715B" w:rsidRDefault="00A906C1" w:rsidP="00497A7D">
      <w:pPr>
        <w:rPr>
          <w:rFonts w:ascii="Palatino Linotype" w:hAnsi="Palatino Linotype"/>
          <w:b/>
        </w:rPr>
      </w:pPr>
      <w:r>
        <w:rPr>
          <w:rFonts w:ascii="Palatino Linotype" w:hAnsi="Palatino Linotype"/>
          <w:b/>
          <w:noProof/>
        </w:rPr>
        <w:drawing>
          <wp:inline distT="0" distB="0" distL="0" distR="0" wp14:anchorId="59C554EC" wp14:editId="6F46A755">
            <wp:extent cx="5943600" cy="35844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84448"/>
                    </a:xfrm>
                    <a:prstGeom prst="rect">
                      <a:avLst/>
                    </a:prstGeom>
                    <a:noFill/>
                  </pic:spPr>
                </pic:pic>
              </a:graphicData>
            </a:graphic>
          </wp:inline>
        </w:drawing>
      </w:r>
    </w:p>
    <w:p w14:paraId="462CB18E" w14:textId="77777777" w:rsidR="00A906C1" w:rsidRDefault="00A906C1" w:rsidP="0070715B">
      <w:pPr>
        <w:ind w:left="1440"/>
        <w:rPr>
          <w:rFonts w:ascii="Palatino Linotype" w:hAnsi="Palatino Linotype"/>
          <w:b/>
        </w:rPr>
      </w:pPr>
    </w:p>
    <w:p w14:paraId="048E6BD5" w14:textId="3A3995F1" w:rsidR="00A906C1" w:rsidRDefault="00A906C1" w:rsidP="00497A7D">
      <w:pPr>
        <w:rPr>
          <w:rFonts w:ascii="Palatino Linotype" w:hAnsi="Palatino Linotype"/>
          <w:b/>
        </w:rPr>
      </w:pPr>
      <w:r>
        <w:rPr>
          <w:rFonts w:ascii="Palatino Linotype" w:hAnsi="Palatino Linotype"/>
          <w:b/>
          <w:noProof/>
        </w:rPr>
        <w:lastRenderedPageBreak/>
        <w:drawing>
          <wp:inline distT="0" distB="0" distL="0" distR="0" wp14:anchorId="05DCE517" wp14:editId="4E3A0B0D">
            <wp:extent cx="5943600" cy="3566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pic:spPr>
                </pic:pic>
              </a:graphicData>
            </a:graphic>
          </wp:inline>
        </w:drawing>
      </w:r>
    </w:p>
    <w:p w14:paraId="1F19E6DB" w14:textId="77777777" w:rsidR="00A906C1" w:rsidRDefault="00A906C1" w:rsidP="00A906C1">
      <w:pPr>
        <w:ind w:left="1440"/>
        <w:rPr>
          <w:rFonts w:ascii="Palatino Linotype" w:hAnsi="Palatino Linotype"/>
          <w:b/>
        </w:rPr>
      </w:pPr>
    </w:p>
    <w:p w14:paraId="3FBA1176" w14:textId="20EDA927" w:rsidR="00A906C1" w:rsidRDefault="00A906C1" w:rsidP="00497A7D">
      <w:pPr>
        <w:rPr>
          <w:rFonts w:ascii="Palatino Linotype" w:hAnsi="Palatino Linotype"/>
          <w:b/>
        </w:rPr>
      </w:pPr>
      <w:r>
        <w:rPr>
          <w:rFonts w:ascii="Palatino Linotype" w:hAnsi="Palatino Linotype"/>
          <w:b/>
          <w:noProof/>
        </w:rPr>
        <w:drawing>
          <wp:inline distT="0" distB="0" distL="0" distR="0" wp14:anchorId="13EB743D" wp14:editId="2A552EB5">
            <wp:extent cx="5852795" cy="3511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795" cy="3511550"/>
                    </a:xfrm>
                    <a:prstGeom prst="rect">
                      <a:avLst/>
                    </a:prstGeom>
                    <a:noFill/>
                  </pic:spPr>
                </pic:pic>
              </a:graphicData>
            </a:graphic>
          </wp:inline>
        </w:drawing>
      </w:r>
    </w:p>
    <w:p w14:paraId="02B420CF" w14:textId="13B373C9" w:rsidR="00A906C1" w:rsidRDefault="00A906C1" w:rsidP="00497A7D">
      <w:pPr>
        <w:rPr>
          <w:rFonts w:ascii="Palatino Linotype" w:hAnsi="Palatino Linotype"/>
          <w:b/>
        </w:rPr>
      </w:pPr>
      <w:r>
        <w:rPr>
          <w:rFonts w:ascii="Palatino Linotype" w:hAnsi="Palatino Linotype"/>
          <w:b/>
          <w:noProof/>
        </w:rPr>
        <w:lastRenderedPageBreak/>
        <w:drawing>
          <wp:inline distT="0" distB="0" distL="0" distR="0" wp14:anchorId="6C20B803" wp14:editId="13EA044B">
            <wp:extent cx="5852795" cy="3523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795" cy="3523615"/>
                    </a:xfrm>
                    <a:prstGeom prst="rect">
                      <a:avLst/>
                    </a:prstGeom>
                    <a:noFill/>
                  </pic:spPr>
                </pic:pic>
              </a:graphicData>
            </a:graphic>
          </wp:inline>
        </w:drawing>
      </w:r>
    </w:p>
    <w:p w14:paraId="535B657D" w14:textId="77777777" w:rsidR="00A906C1" w:rsidRDefault="00A906C1" w:rsidP="00A906C1">
      <w:pPr>
        <w:ind w:left="1440"/>
        <w:rPr>
          <w:rFonts w:ascii="Palatino Linotype" w:hAnsi="Palatino Linotype"/>
          <w:b/>
        </w:rPr>
      </w:pPr>
    </w:p>
    <w:p w14:paraId="35EE05E4" w14:textId="7965BEFF" w:rsidR="0070715B" w:rsidRDefault="008E77F7" w:rsidP="0070715B">
      <w:pPr>
        <w:numPr>
          <w:ilvl w:val="1"/>
          <w:numId w:val="1"/>
        </w:numPr>
        <w:rPr>
          <w:rFonts w:ascii="Palatino Linotype" w:hAnsi="Palatino Linotype"/>
          <w:b/>
        </w:rPr>
      </w:pPr>
      <w:r>
        <w:rPr>
          <w:rFonts w:ascii="Palatino Linotype" w:hAnsi="Palatino Linotype"/>
          <w:b/>
        </w:rPr>
        <w:t xml:space="preserve">Key Drivers of Evaluation Updates – </w:t>
      </w:r>
      <w:r w:rsidR="0070715B">
        <w:rPr>
          <w:rFonts w:ascii="Palatino Linotype" w:hAnsi="Palatino Linotype"/>
          <w:b/>
        </w:rPr>
        <w:t xml:space="preserve">Largest ESPI </w:t>
      </w:r>
      <w:r w:rsidR="00A906C1">
        <w:rPr>
          <w:rFonts w:ascii="Palatino Linotype" w:hAnsi="Palatino Linotype"/>
          <w:b/>
        </w:rPr>
        <w:t xml:space="preserve">Deemed </w:t>
      </w:r>
      <w:r w:rsidR="0070715B">
        <w:rPr>
          <w:rFonts w:ascii="Palatino Linotype" w:hAnsi="Palatino Linotype"/>
          <w:b/>
        </w:rPr>
        <w:t>Measures</w:t>
      </w:r>
    </w:p>
    <w:p w14:paraId="0764C26A" w14:textId="316E3EF6" w:rsidR="00F47870" w:rsidRDefault="00F47870" w:rsidP="00A906C1">
      <w:pPr>
        <w:ind w:left="1440"/>
        <w:jc w:val="both"/>
        <w:rPr>
          <w:rFonts w:ascii="Palatino Linotype" w:hAnsi="Palatino Linotype"/>
        </w:rPr>
      </w:pPr>
      <w:r>
        <w:rPr>
          <w:rFonts w:ascii="Palatino Linotype" w:hAnsi="Palatino Linotype"/>
        </w:rPr>
        <w:t xml:space="preserve">These charts rank the </w:t>
      </w:r>
      <w:r w:rsidR="004D7673">
        <w:rPr>
          <w:rFonts w:ascii="Palatino Linotype" w:hAnsi="Palatino Linotype"/>
        </w:rPr>
        <w:t xml:space="preserve">deemed </w:t>
      </w:r>
      <w:r>
        <w:rPr>
          <w:rFonts w:ascii="Palatino Linotype" w:hAnsi="Palatino Linotype"/>
        </w:rPr>
        <w:t xml:space="preserve">uncertain measures and their contribution to statewide lifecycle electric, demand, and natural gas ex-post savings.  CFLs continue to be a significant portion of the portfolio in 2013, contributing the most to lifecycle GWh and MW for </w:t>
      </w:r>
      <w:r w:rsidR="00C66C2C">
        <w:rPr>
          <w:rFonts w:ascii="Palatino Linotype" w:hAnsi="Palatino Linotype"/>
        </w:rPr>
        <w:t xml:space="preserve">2013 </w:t>
      </w:r>
      <w:r>
        <w:rPr>
          <w:rFonts w:ascii="Palatino Linotype" w:hAnsi="Palatino Linotype"/>
        </w:rPr>
        <w:t xml:space="preserve">ESPI purposes.  Water Kits were the largest contributor for lifecycle </w:t>
      </w:r>
      <w:r w:rsidR="008E77F7">
        <w:rPr>
          <w:rFonts w:ascii="Palatino Linotype" w:hAnsi="Palatino Linotype"/>
        </w:rPr>
        <w:t>t</w:t>
      </w:r>
      <w:r>
        <w:rPr>
          <w:rFonts w:ascii="Palatino Linotype" w:hAnsi="Palatino Linotype"/>
        </w:rPr>
        <w:t>herm savings</w:t>
      </w:r>
      <w:r w:rsidR="004D7673">
        <w:rPr>
          <w:rFonts w:ascii="Palatino Linotype" w:hAnsi="Palatino Linotype"/>
        </w:rPr>
        <w:t xml:space="preserve"> (again, this is within the </w:t>
      </w:r>
      <w:r w:rsidR="00C66C2C">
        <w:rPr>
          <w:rFonts w:ascii="Palatino Linotype" w:hAnsi="Palatino Linotype"/>
        </w:rPr>
        <w:t xml:space="preserve">2013 </w:t>
      </w:r>
      <w:r w:rsidR="004D7673">
        <w:rPr>
          <w:rFonts w:ascii="Palatino Linotype" w:hAnsi="Palatino Linotype"/>
        </w:rPr>
        <w:t xml:space="preserve">ESPI Deemed uncertain measure savings and does not include </w:t>
      </w:r>
      <w:r w:rsidR="008E77F7">
        <w:rPr>
          <w:rFonts w:ascii="Palatino Linotype" w:hAnsi="Palatino Linotype"/>
        </w:rPr>
        <w:t>t</w:t>
      </w:r>
      <w:r w:rsidR="004D7673">
        <w:rPr>
          <w:rFonts w:ascii="Palatino Linotype" w:hAnsi="Palatino Linotype"/>
        </w:rPr>
        <w:t>herm savings from Codes &amp; Standards, ESPI Custom or ESPI Deemed – ExAnte review)</w:t>
      </w:r>
      <w:r>
        <w:rPr>
          <w:rFonts w:ascii="Palatino Linotype" w:hAnsi="Palatino Linotype"/>
        </w:rPr>
        <w:t>.</w:t>
      </w:r>
    </w:p>
    <w:p w14:paraId="05E7CE3D" w14:textId="77777777" w:rsidR="006B6ACD" w:rsidRDefault="006B6ACD" w:rsidP="006B6ACD">
      <w:pPr>
        <w:jc w:val="both"/>
        <w:rPr>
          <w:rFonts w:ascii="Palatino Linotype" w:hAnsi="Palatino Linotype"/>
        </w:rPr>
      </w:pPr>
    </w:p>
    <w:p w14:paraId="0D73E51A" w14:textId="526EEC78" w:rsidR="006B6ACD" w:rsidRPr="00F47870" w:rsidRDefault="00D44E5C" w:rsidP="006B6ACD">
      <w:pPr>
        <w:jc w:val="both"/>
        <w:rPr>
          <w:rFonts w:ascii="Palatino Linotype" w:hAnsi="Palatino Linotype"/>
        </w:rPr>
      </w:pPr>
      <w:r>
        <w:rPr>
          <w:rFonts w:ascii="Palatino Linotype" w:hAnsi="Palatino Linotype"/>
          <w:noProof/>
        </w:rPr>
        <w:lastRenderedPageBreak/>
        <w:drawing>
          <wp:inline distT="0" distB="0" distL="0" distR="0" wp14:anchorId="34258A2C" wp14:editId="0472AB49">
            <wp:extent cx="5943600" cy="3566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pic:spPr>
                </pic:pic>
              </a:graphicData>
            </a:graphic>
          </wp:inline>
        </w:drawing>
      </w:r>
    </w:p>
    <w:p w14:paraId="3E21D461" w14:textId="3A3319A0" w:rsidR="00D44E5C" w:rsidRDefault="00D44E5C" w:rsidP="00497A7D">
      <w:pPr>
        <w:rPr>
          <w:rFonts w:ascii="Palatino Linotype" w:hAnsi="Palatino Linotype"/>
        </w:rPr>
      </w:pPr>
      <w:r>
        <w:rPr>
          <w:rFonts w:ascii="Palatino Linotype" w:hAnsi="Palatino Linotype"/>
          <w:noProof/>
        </w:rPr>
        <w:drawing>
          <wp:inline distT="0" distB="0" distL="0" distR="0" wp14:anchorId="1E6823B7" wp14:editId="1D6EAEC2">
            <wp:extent cx="5943600" cy="36027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2736"/>
                    </a:xfrm>
                    <a:prstGeom prst="rect">
                      <a:avLst/>
                    </a:prstGeom>
                    <a:noFill/>
                  </pic:spPr>
                </pic:pic>
              </a:graphicData>
            </a:graphic>
          </wp:inline>
        </w:drawing>
      </w:r>
    </w:p>
    <w:p w14:paraId="12677BD5" w14:textId="336587D6" w:rsidR="000D0E2A" w:rsidRPr="008E77F7" w:rsidRDefault="00D44E5C" w:rsidP="008E77F7">
      <w:pPr>
        <w:rPr>
          <w:rFonts w:ascii="Palatino Linotype" w:hAnsi="Palatino Linotype"/>
        </w:rPr>
      </w:pPr>
      <w:r>
        <w:rPr>
          <w:rFonts w:ascii="Palatino Linotype" w:hAnsi="Palatino Linotype"/>
          <w:noProof/>
        </w:rPr>
        <w:lastRenderedPageBreak/>
        <w:drawing>
          <wp:inline distT="0" distB="0" distL="0" distR="0" wp14:anchorId="619DE4D9" wp14:editId="755DBB31">
            <wp:extent cx="5943600" cy="378561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85616"/>
                    </a:xfrm>
                    <a:prstGeom prst="rect">
                      <a:avLst/>
                    </a:prstGeom>
                    <a:noFill/>
                  </pic:spPr>
                </pic:pic>
              </a:graphicData>
            </a:graphic>
          </wp:inline>
        </w:drawing>
      </w:r>
      <w:r w:rsidR="000D0E2A" w:rsidRPr="00F47870">
        <w:rPr>
          <w:rFonts w:ascii="Palatino Linotype" w:hAnsi="Palatino Linotype"/>
        </w:rPr>
        <w:br w:type="page"/>
      </w:r>
    </w:p>
    <w:p w14:paraId="27065679" w14:textId="77777777" w:rsidR="00CE7E8A" w:rsidRDefault="00620759" w:rsidP="00CE7E8A">
      <w:pPr>
        <w:numPr>
          <w:ilvl w:val="0"/>
          <w:numId w:val="1"/>
        </w:numPr>
        <w:rPr>
          <w:rFonts w:ascii="Palatino Linotype" w:hAnsi="Palatino Linotype"/>
          <w:b/>
        </w:rPr>
      </w:pPr>
      <w:r>
        <w:rPr>
          <w:rFonts w:ascii="Palatino Linotype" w:hAnsi="Palatino Linotype"/>
          <w:b/>
        </w:rPr>
        <w:lastRenderedPageBreak/>
        <w:t>Appendices</w:t>
      </w:r>
    </w:p>
    <w:p w14:paraId="39302D5C" w14:textId="6F4E98E3" w:rsidR="00F47870" w:rsidRPr="00F47870" w:rsidRDefault="00F47870" w:rsidP="00F47870">
      <w:pPr>
        <w:ind w:left="720"/>
        <w:rPr>
          <w:rFonts w:ascii="Palatino Linotype" w:hAnsi="Palatino Linotype"/>
        </w:rPr>
      </w:pPr>
      <w:r>
        <w:rPr>
          <w:rFonts w:ascii="Palatino Linotype" w:hAnsi="Palatino Linotype"/>
        </w:rPr>
        <w:t>All the tables and charts us</w:t>
      </w:r>
      <w:r w:rsidR="002B4E28">
        <w:rPr>
          <w:rFonts w:ascii="Palatino Linotype" w:hAnsi="Palatino Linotype"/>
        </w:rPr>
        <w:t>e</w:t>
      </w:r>
      <w:r>
        <w:rPr>
          <w:rFonts w:ascii="Palatino Linotype" w:hAnsi="Palatino Linotype"/>
        </w:rPr>
        <w:t xml:space="preserve">d in this report can be found in the </w:t>
      </w:r>
      <w:r w:rsidR="002B4E28">
        <w:rPr>
          <w:rFonts w:ascii="Palatino Linotype" w:hAnsi="Palatino Linotype"/>
        </w:rPr>
        <w:t>A</w:t>
      </w:r>
      <w:r>
        <w:rPr>
          <w:rFonts w:ascii="Palatino Linotype" w:hAnsi="Palatino Linotype"/>
        </w:rPr>
        <w:t xml:space="preserve">ppendix A.  </w:t>
      </w:r>
      <w:r w:rsidR="002B4E28">
        <w:rPr>
          <w:rFonts w:ascii="Palatino Linotype" w:hAnsi="Palatino Linotype"/>
        </w:rPr>
        <w:t xml:space="preserve">In addition, Appendix A also includes the IOU specific workbooks.  </w:t>
      </w:r>
      <w:r>
        <w:rPr>
          <w:rFonts w:ascii="Palatino Linotype" w:hAnsi="Palatino Linotype"/>
        </w:rPr>
        <w:t>All the measure level data and queries used to build the tables in Appendix A can be found in Appendix B.</w:t>
      </w:r>
      <w:r w:rsidR="002B4E28">
        <w:rPr>
          <w:rFonts w:ascii="Palatino Linotype" w:hAnsi="Palatino Linotype"/>
        </w:rPr>
        <w:t xml:space="preserve">  Appendix C includes more detail on how the final dataset was developed.</w:t>
      </w:r>
    </w:p>
    <w:p w14:paraId="0848EE41" w14:textId="77777777" w:rsidR="00620759" w:rsidRDefault="00620759" w:rsidP="002B4E28">
      <w:pPr>
        <w:numPr>
          <w:ilvl w:val="1"/>
          <w:numId w:val="7"/>
        </w:numPr>
        <w:rPr>
          <w:rFonts w:ascii="Palatino Linotype" w:hAnsi="Palatino Linotype"/>
          <w:b/>
        </w:rPr>
      </w:pPr>
      <w:r>
        <w:rPr>
          <w:rFonts w:ascii="Palatino Linotype" w:hAnsi="Palatino Linotype"/>
          <w:b/>
        </w:rPr>
        <w:t>2013 Performance Statement Workbook</w:t>
      </w:r>
    </w:p>
    <w:p w14:paraId="70E8E031" w14:textId="77777777" w:rsidR="00620759" w:rsidRDefault="00620759" w:rsidP="002B4E28">
      <w:pPr>
        <w:numPr>
          <w:ilvl w:val="1"/>
          <w:numId w:val="7"/>
        </w:numPr>
        <w:rPr>
          <w:rFonts w:ascii="Palatino Linotype" w:hAnsi="Palatino Linotype"/>
          <w:b/>
        </w:rPr>
      </w:pPr>
      <w:r>
        <w:rPr>
          <w:rFonts w:ascii="Palatino Linotype" w:hAnsi="Palatino Linotype"/>
          <w:b/>
        </w:rPr>
        <w:t>2013 ESPI Database</w:t>
      </w:r>
    </w:p>
    <w:p w14:paraId="772C3867" w14:textId="00CCD9DC" w:rsidR="002B4E28" w:rsidRDefault="000A6D70" w:rsidP="002B4E28">
      <w:pPr>
        <w:numPr>
          <w:ilvl w:val="1"/>
          <w:numId w:val="7"/>
        </w:numPr>
        <w:rPr>
          <w:rFonts w:ascii="Palatino Linotype" w:hAnsi="Palatino Linotype"/>
          <w:b/>
        </w:rPr>
      </w:pPr>
      <w:r>
        <w:rPr>
          <w:rFonts w:ascii="Palatino Linotype" w:hAnsi="Palatino Linotype"/>
          <w:b/>
        </w:rPr>
        <w:t>Creation of Ex-Post Dataset</w:t>
      </w:r>
    </w:p>
    <w:p w14:paraId="05CA98DD" w14:textId="77777777" w:rsidR="00190885" w:rsidRDefault="00190885" w:rsidP="00190885">
      <w:pPr>
        <w:rPr>
          <w:rFonts w:ascii="Palatino Linotype" w:hAnsi="Palatino Linotype"/>
          <w:b/>
        </w:rPr>
      </w:pPr>
    </w:p>
    <w:p w14:paraId="4857142D" w14:textId="4FADDD89" w:rsidR="00190885" w:rsidRDefault="00190885">
      <w:pPr>
        <w:spacing w:after="0" w:line="240" w:lineRule="auto"/>
        <w:rPr>
          <w:rFonts w:ascii="Palatino Linotype" w:hAnsi="Palatino Linotype"/>
          <w:b/>
        </w:rPr>
      </w:pPr>
      <w:r>
        <w:rPr>
          <w:rFonts w:ascii="Palatino Linotype" w:hAnsi="Palatino Linotype"/>
          <w:b/>
        </w:rPr>
        <w:br w:type="page"/>
      </w:r>
    </w:p>
    <w:p w14:paraId="3ED4C1C2" w14:textId="77777777" w:rsidR="00190885" w:rsidRDefault="00190885" w:rsidP="00190885">
      <w:pPr>
        <w:rPr>
          <w:rFonts w:ascii="Palatino Linotype" w:hAnsi="Palatino Linotype"/>
        </w:rPr>
      </w:pPr>
      <w:r>
        <w:rPr>
          <w:rFonts w:ascii="Palatino Linotype" w:hAnsi="Palatino Linotype"/>
        </w:rPr>
        <w:lastRenderedPageBreak/>
        <w:t>2013 Ex-post Efficiency Savings and Performance Incentive (ESPI) Mechanism</w:t>
      </w:r>
    </w:p>
    <w:p w14:paraId="031A0BB8" w14:textId="0EA64327" w:rsidR="00190885" w:rsidRDefault="00190885" w:rsidP="00190885">
      <w:pPr>
        <w:rPr>
          <w:rFonts w:ascii="Palatino Linotype" w:hAnsi="Palatino Linotype"/>
          <w:b/>
        </w:rPr>
      </w:pPr>
      <w:r>
        <w:rPr>
          <w:rFonts w:ascii="Palatino Linotype" w:hAnsi="Palatino Linotype"/>
          <w:b/>
        </w:rPr>
        <w:t>Appendix A:</w:t>
      </w:r>
      <w:r w:rsidR="007300D4">
        <w:rPr>
          <w:rFonts w:ascii="Palatino Linotype" w:hAnsi="Palatino Linotype"/>
          <w:b/>
        </w:rPr>
        <w:t xml:space="preserve"> </w:t>
      </w:r>
      <w:r>
        <w:rPr>
          <w:rFonts w:ascii="Palatino Linotype" w:hAnsi="Palatino Linotype"/>
          <w:b/>
        </w:rPr>
        <w:t xml:space="preserve"> 2013 Performance Statement Workbooks</w:t>
      </w:r>
    </w:p>
    <w:p w14:paraId="0409E483" w14:textId="77777777" w:rsidR="00F6438F" w:rsidRDefault="00511394" w:rsidP="00511394">
      <w:pPr>
        <w:jc w:val="both"/>
        <w:rPr>
          <w:rFonts w:ascii="Palatino Linotype" w:hAnsi="Palatino Linotype"/>
        </w:rPr>
      </w:pPr>
      <w:r>
        <w:rPr>
          <w:rFonts w:ascii="Palatino Linotype" w:hAnsi="Palatino Linotype"/>
        </w:rPr>
        <w:t xml:space="preserve">The 2013 ESPI workbooks can be found at: </w:t>
      </w:r>
      <w:r w:rsidR="009819D4">
        <w:rPr>
          <w:rFonts w:ascii="Palatino Linotype" w:hAnsi="Palatino Linotype"/>
        </w:rPr>
        <w:t xml:space="preserve"> </w:t>
      </w:r>
    </w:p>
    <w:p w14:paraId="14408CEA" w14:textId="568AAC32" w:rsidR="00F6438F" w:rsidRDefault="007823F5" w:rsidP="00511394">
      <w:pPr>
        <w:jc w:val="both"/>
      </w:pPr>
      <w:hyperlink r:id="rId26" w:history="1">
        <w:r w:rsidR="00F6438F" w:rsidRPr="00263B9C">
          <w:rPr>
            <w:rStyle w:val="Hyperlink"/>
          </w:rPr>
          <w:t>http://www.cpuc.ca.gov/PUC/energy/Energy+Efficiency/Shareholder+Incentive+Mechanism.htm</w:t>
        </w:r>
      </w:hyperlink>
    </w:p>
    <w:p w14:paraId="02F8CE1D" w14:textId="076DC184" w:rsidR="00290BB7" w:rsidRPr="00666EA9" w:rsidRDefault="00511394" w:rsidP="00511394">
      <w:pPr>
        <w:jc w:val="both"/>
        <w:rPr>
          <w:rFonts w:ascii="Palatino Linotype" w:hAnsi="Palatino Linotype"/>
        </w:rPr>
      </w:pPr>
      <w:r>
        <w:rPr>
          <w:rFonts w:ascii="Palatino Linotype" w:hAnsi="Palatino Linotype"/>
        </w:rPr>
        <w:t>The embedded workbook below</w:t>
      </w:r>
      <w:r w:rsidR="00290BB7">
        <w:rPr>
          <w:rFonts w:ascii="Palatino Linotype" w:hAnsi="Palatino Linotype"/>
        </w:rPr>
        <w:t xml:space="preserve"> </w:t>
      </w:r>
      <w:r>
        <w:rPr>
          <w:rFonts w:ascii="Palatino Linotype" w:hAnsi="Palatino Linotype"/>
        </w:rPr>
        <w:t>was</w:t>
      </w:r>
      <w:r w:rsidR="00290BB7">
        <w:rPr>
          <w:rFonts w:ascii="Palatino Linotype" w:hAnsi="Palatino Linotype"/>
        </w:rPr>
        <w:t xml:space="preserve"> used to create </w:t>
      </w:r>
      <w:r>
        <w:rPr>
          <w:rFonts w:ascii="Palatino Linotype" w:hAnsi="Palatino Linotype"/>
        </w:rPr>
        <w:t>all</w:t>
      </w:r>
      <w:r w:rsidR="00290BB7">
        <w:rPr>
          <w:rFonts w:ascii="Palatino Linotype" w:hAnsi="Palatino Linotype"/>
        </w:rPr>
        <w:t xml:space="preserve"> results tables </w:t>
      </w:r>
      <w:r>
        <w:rPr>
          <w:rFonts w:ascii="Palatino Linotype" w:hAnsi="Palatino Linotype"/>
        </w:rPr>
        <w:t xml:space="preserve">and graphs </w:t>
      </w:r>
      <w:r w:rsidR="00290BB7">
        <w:rPr>
          <w:rFonts w:ascii="Palatino Linotype" w:hAnsi="Palatino Linotype"/>
        </w:rPr>
        <w:t>presented in th</w:t>
      </w:r>
      <w:r>
        <w:rPr>
          <w:rFonts w:ascii="Palatino Linotype" w:hAnsi="Palatino Linotype"/>
        </w:rPr>
        <w:t>is</w:t>
      </w:r>
      <w:r w:rsidR="00290BB7">
        <w:rPr>
          <w:rFonts w:ascii="Palatino Linotype" w:hAnsi="Palatino Linotype"/>
        </w:rPr>
        <w:t xml:space="preserve"> report.  </w:t>
      </w:r>
      <w:r>
        <w:rPr>
          <w:rFonts w:ascii="Palatino Linotype" w:hAnsi="Palatino Linotype"/>
        </w:rPr>
        <w:t>This embedded workbook includes the s</w:t>
      </w:r>
      <w:r w:rsidR="00290BB7">
        <w:rPr>
          <w:rFonts w:ascii="Palatino Linotype" w:hAnsi="Palatino Linotype"/>
        </w:rPr>
        <w:t>tatewide results</w:t>
      </w:r>
      <w:r>
        <w:rPr>
          <w:rFonts w:ascii="Palatino Linotype" w:hAnsi="Palatino Linotype"/>
        </w:rPr>
        <w:t>.  These</w:t>
      </w:r>
      <w:r w:rsidR="00290BB7">
        <w:rPr>
          <w:rFonts w:ascii="Palatino Linotype" w:hAnsi="Palatino Linotype"/>
        </w:rPr>
        <w:t xml:space="preserve"> are presented separately from IOU-specific results</w:t>
      </w:r>
      <w:r>
        <w:rPr>
          <w:rFonts w:ascii="Palatino Linotype" w:hAnsi="Palatino Linotype"/>
        </w:rPr>
        <w:t xml:space="preserve"> (available via the link above)</w:t>
      </w:r>
      <w:r w:rsidR="00290BB7">
        <w:rPr>
          <w:rFonts w:ascii="Palatino Linotype" w:hAnsi="Palatino Linotype"/>
        </w:rPr>
        <w:t xml:space="preserve">, giving rise to five workbooks in total.  Each workbook contains results data by Scenario, </w:t>
      </w:r>
      <w:r w:rsidR="00290BB7" w:rsidRPr="00666EA9">
        <w:rPr>
          <w:rFonts w:ascii="Palatino Linotype" w:hAnsi="Palatino Linotype"/>
        </w:rPr>
        <w:t>PA</w:t>
      </w:r>
      <w:r w:rsidR="00290BB7">
        <w:rPr>
          <w:rFonts w:ascii="Palatino Linotype" w:hAnsi="Palatino Linotype"/>
        </w:rPr>
        <w:t xml:space="preserve">, ESPI </w:t>
      </w:r>
      <w:r w:rsidR="00290BB7" w:rsidRPr="00666EA9">
        <w:rPr>
          <w:rFonts w:ascii="Palatino Linotype" w:hAnsi="Palatino Linotype"/>
        </w:rPr>
        <w:t>Group</w:t>
      </w:r>
      <w:r w:rsidR="00290BB7">
        <w:rPr>
          <w:rFonts w:ascii="Palatino Linotype" w:hAnsi="Palatino Linotype"/>
        </w:rPr>
        <w:t xml:space="preserve">, ESPI Category, </w:t>
      </w:r>
      <w:r w:rsidR="00290BB7" w:rsidRPr="00666EA9">
        <w:rPr>
          <w:rFonts w:ascii="Palatino Linotype" w:hAnsi="Palatino Linotype"/>
        </w:rPr>
        <w:t>Uncertain</w:t>
      </w:r>
      <w:r w:rsidR="00290BB7">
        <w:rPr>
          <w:rFonts w:ascii="Palatino Linotype" w:hAnsi="Palatino Linotype"/>
        </w:rPr>
        <w:t xml:space="preserve"> </w:t>
      </w:r>
      <w:r w:rsidR="00290BB7" w:rsidRPr="00666EA9">
        <w:rPr>
          <w:rFonts w:ascii="Palatino Linotype" w:hAnsi="Palatino Linotype"/>
        </w:rPr>
        <w:t>Measure</w:t>
      </w:r>
      <w:r w:rsidR="00290BB7">
        <w:rPr>
          <w:rFonts w:ascii="Palatino Linotype" w:hAnsi="Palatino Linotype"/>
        </w:rPr>
        <w:t xml:space="preserve">, having </w:t>
      </w:r>
      <w:r w:rsidR="00290BB7" w:rsidRPr="00666EA9">
        <w:rPr>
          <w:rFonts w:ascii="Palatino Linotype" w:hAnsi="Palatino Linotype"/>
        </w:rPr>
        <w:t>Eval</w:t>
      </w:r>
      <w:r w:rsidR="00290BB7">
        <w:rPr>
          <w:rFonts w:ascii="Palatino Linotype" w:hAnsi="Palatino Linotype"/>
        </w:rPr>
        <w:t xml:space="preserve">uation </w:t>
      </w:r>
      <w:r w:rsidR="00290BB7" w:rsidRPr="00666EA9">
        <w:rPr>
          <w:rFonts w:ascii="Palatino Linotype" w:hAnsi="Palatino Linotype"/>
        </w:rPr>
        <w:t>Result</w:t>
      </w:r>
      <w:r w:rsidR="00290BB7">
        <w:rPr>
          <w:rFonts w:ascii="Palatino Linotype" w:hAnsi="Palatino Linotype"/>
        </w:rPr>
        <w:t>s, Measure Group, and</w:t>
      </w:r>
      <w:r w:rsidR="00290BB7" w:rsidRPr="00666EA9">
        <w:rPr>
          <w:rFonts w:ascii="Palatino Linotype" w:hAnsi="Palatino Linotype"/>
        </w:rPr>
        <w:t xml:space="preserve"> RoadMap</w:t>
      </w:r>
      <w:r w:rsidR="00290BB7">
        <w:rPr>
          <w:rFonts w:ascii="Palatino Linotype" w:hAnsi="Palatino Linotype"/>
        </w:rPr>
        <w:t xml:space="preserve"> </w:t>
      </w:r>
      <w:r w:rsidR="00290BB7" w:rsidRPr="00666EA9">
        <w:rPr>
          <w:rFonts w:ascii="Palatino Linotype" w:hAnsi="Palatino Linotype"/>
        </w:rPr>
        <w:t>ID</w:t>
      </w:r>
      <w:r w:rsidR="00290BB7">
        <w:rPr>
          <w:rFonts w:ascii="Palatino Linotype" w:hAnsi="Palatino Linotype"/>
        </w:rPr>
        <w:t xml:space="preserve">.  The results include Record Counts, Quantities, and Gross and Net First Year and Life Cycle Savings.  The subsequent tables and charts are derived from this data.  </w:t>
      </w:r>
    </w:p>
    <w:p w14:paraId="2043CFAD" w14:textId="6B4FF35D" w:rsidR="00190885" w:rsidRPr="00511394" w:rsidRDefault="00511394" w:rsidP="00511394">
      <w:pPr>
        <w:jc w:val="both"/>
        <w:rPr>
          <w:rFonts w:ascii="Palatino Linotype" w:hAnsi="Palatino Linotype"/>
        </w:rPr>
      </w:pPr>
      <w:r w:rsidRPr="00511394">
        <w:rPr>
          <w:rFonts w:ascii="Palatino Linotype" w:hAnsi="Palatino Linotype"/>
        </w:rPr>
        <w:t>The workb</w:t>
      </w:r>
      <w:r>
        <w:rPr>
          <w:rFonts w:ascii="Palatino Linotype" w:hAnsi="Palatino Linotype"/>
        </w:rPr>
        <w:t xml:space="preserve">ooks contain tables and graphs not available in the report.  These are provided to allow the reader to </w:t>
      </w:r>
      <w:r w:rsidR="00837533">
        <w:rPr>
          <w:rFonts w:ascii="Palatino Linotype" w:hAnsi="Palatino Linotype"/>
        </w:rPr>
        <w:t>interpret the results</w:t>
      </w:r>
      <w:r>
        <w:rPr>
          <w:rFonts w:ascii="Palatino Linotype" w:hAnsi="Palatino Linotype"/>
        </w:rPr>
        <w:t xml:space="preserve"> at a finer level of detail.  </w:t>
      </w:r>
    </w:p>
    <w:p w14:paraId="5C18ACC8" w14:textId="77777777" w:rsidR="00190885" w:rsidRDefault="00190885" w:rsidP="00190885">
      <w:pPr>
        <w:rPr>
          <w:rFonts w:ascii="Palatino Linotype" w:hAnsi="Palatino Linotype"/>
          <w:b/>
        </w:rPr>
      </w:pPr>
    </w:p>
    <w:p w14:paraId="2DD2F904" w14:textId="77777777" w:rsidR="007342E5" w:rsidRDefault="00E5673B" w:rsidP="00190885">
      <w:pPr>
        <w:rPr>
          <w:rFonts w:ascii="Palatino Linotype" w:hAnsi="Palatino Linotype"/>
          <w:b/>
        </w:rPr>
      </w:pPr>
      <w:r>
        <w:rPr>
          <w:rFonts w:ascii="Palatino Linotype" w:hAnsi="Palatino Linotype"/>
          <w:b/>
        </w:rPr>
        <w:object w:dxaOrig="3000" w:dyaOrig="1960" w14:anchorId="63525129">
          <v:shape id="_x0000_i1026" type="#_x0000_t75" style="width:148.2pt;height:99.65pt" o:ole="">
            <v:imagedata r:id="rId27" o:title=""/>
          </v:shape>
          <o:OLEObject Type="Embed" ProgID="Excel.Sheet.12" ShapeID="_x0000_i1026" DrawAspect="Icon" ObjectID="_1508141931" r:id="rId28"/>
        </w:object>
      </w:r>
    </w:p>
    <w:p w14:paraId="788F1BE0" w14:textId="14DAED6C" w:rsidR="007300D4" w:rsidRDefault="007300D4">
      <w:pPr>
        <w:spacing w:after="0" w:line="240" w:lineRule="auto"/>
        <w:rPr>
          <w:rFonts w:ascii="Palatino Linotype" w:hAnsi="Palatino Linotype"/>
          <w:b/>
        </w:rPr>
      </w:pPr>
      <w:r>
        <w:rPr>
          <w:rFonts w:ascii="Palatino Linotype" w:hAnsi="Palatino Linotype"/>
          <w:b/>
        </w:rPr>
        <w:br w:type="page"/>
      </w:r>
    </w:p>
    <w:p w14:paraId="22F20F06" w14:textId="77777777" w:rsidR="007300D4" w:rsidRDefault="007300D4" w:rsidP="007300D4">
      <w:pPr>
        <w:rPr>
          <w:rFonts w:ascii="Palatino Linotype" w:hAnsi="Palatino Linotype"/>
        </w:rPr>
      </w:pPr>
      <w:r>
        <w:rPr>
          <w:rFonts w:ascii="Palatino Linotype" w:hAnsi="Palatino Linotype"/>
        </w:rPr>
        <w:lastRenderedPageBreak/>
        <w:t>2013 Ex-post Efficiency Savings and Performance Incentive (ESPI) Mechanism</w:t>
      </w:r>
    </w:p>
    <w:p w14:paraId="3B372216" w14:textId="20DE63C5" w:rsidR="007300D4" w:rsidRDefault="007300D4" w:rsidP="007300D4">
      <w:pPr>
        <w:rPr>
          <w:rFonts w:ascii="Palatino Linotype" w:hAnsi="Palatino Linotype"/>
          <w:b/>
        </w:rPr>
      </w:pPr>
      <w:r>
        <w:rPr>
          <w:rFonts w:ascii="Palatino Linotype" w:hAnsi="Palatino Linotype"/>
          <w:b/>
        </w:rPr>
        <w:t>Appendix B:  2013 ESPI Database</w:t>
      </w:r>
    </w:p>
    <w:p w14:paraId="6384DDEE" w14:textId="5E5BCE3D" w:rsidR="00F6438F" w:rsidRDefault="00EC6CFC" w:rsidP="00190885">
      <w:r>
        <w:rPr>
          <w:rFonts w:ascii="Palatino Linotype" w:hAnsi="Palatino Linotype"/>
        </w:rPr>
        <w:t>The 2013 ESPI database can be found at:</w:t>
      </w:r>
      <w:r w:rsidR="009819D4">
        <w:rPr>
          <w:rFonts w:ascii="Palatino Linotype" w:hAnsi="Palatino Linotype"/>
        </w:rPr>
        <w:t xml:space="preserve">  </w:t>
      </w:r>
      <w:hyperlink r:id="rId29" w:history="1">
        <w:r w:rsidR="00F6438F" w:rsidRPr="00263B9C">
          <w:rPr>
            <w:rStyle w:val="Hyperlink"/>
          </w:rPr>
          <w:t>http://www.cpuc.ca.gov/PUC/energy/Energy+Efficiency/Shareholder+Incentive+Mechanism.htm</w:t>
        </w:r>
      </w:hyperlink>
    </w:p>
    <w:p w14:paraId="70BEB19C" w14:textId="16219700" w:rsidR="000D0765" w:rsidRDefault="00EC6CFC" w:rsidP="00190885">
      <w:pPr>
        <w:rPr>
          <w:rFonts w:ascii="Palatino Linotype" w:hAnsi="Palatino Linotype"/>
        </w:rPr>
      </w:pPr>
      <w:r>
        <w:rPr>
          <w:rFonts w:ascii="Palatino Linotype" w:hAnsi="Palatino Linotype"/>
        </w:rPr>
        <w:t>This database includes a table with the detailed claim level data</w:t>
      </w:r>
      <w:r w:rsidR="000D0765">
        <w:rPr>
          <w:rFonts w:ascii="Palatino Linotype" w:hAnsi="Palatino Linotype"/>
        </w:rPr>
        <w:t xml:space="preserve"> for the four IOUs</w:t>
      </w:r>
      <w:r>
        <w:rPr>
          <w:rFonts w:ascii="Palatino Linotype" w:hAnsi="Palatino Linotype"/>
        </w:rPr>
        <w:t xml:space="preserve">.  </w:t>
      </w:r>
      <w:r w:rsidR="000D0765">
        <w:rPr>
          <w:rFonts w:ascii="Palatino Linotype" w:hAnsi="Palatino Linotype"/>
        </w:rPr>
        <w:t>For each record, the ExAnte and ExPost</w:t>
      </w:r>
      <w:r w:rsidR="000D0765">
        <w:rPr>
          <w:rStyle w:val="FootnoteReference"/>
          <w:rFonts w:ascii="Palatino Linotype" w:hAnsi="Palatino Linotype"/>
        </w:rPr>
        <w:footnoteReference w:id="5"/>
      </w:r>
      <w:r w:rsidR="000D0765">
        <w:rPr>
          <w:rFonts w:ascii="Palatino Linotype" w:hAnsi="Palatino Linotype"/>
        </w:rPr>
        <w:t xml:space="preserve"> savings values (including gross and net, first year and life cycle) are available.  In addition, the parameter level data is also included (including ExAnte and ExPost values).  </w:t>
      </w:r>
      <w:r>
        <w:rPr>
          <w:rFonts w:ascii="Palatino Linotype" w:hAnsi="Palatino Linotype"/>
        </w:rPr>
        <w:t>This</w:t>
      </w:r>
      <w:r w:rsidR="000D0765">
        <w:rPr>
          <w:rFonts w:ascii="Palatino Linotype" w:hAnsi="Palatino Linotype"/>
        </w:rPr>
        <w:t xml:space="preserve"> database</w:t>
      </w:r>
      <w:r>
        <w:rPr>
          <w:rFonts w:ascii="Palatino Linotype" w:hAnsi="Palatino Linotype"/>
        </w:rPr>
        <w:t xml:space="preserve"> table is the basis for this report</w:t>
      </w:r>
      <w:r w:rsidR="000D0765">
        <w:rPr>
          <w:rFonts w:ascii="Palatino Linotype" w:hAnsi="Palatino Linotype"/>
        </w:rPr>
        <w:t xml:space="preserve"> and the aggregated data presented in the Excel files in Appendix A.</w:t>
      </w:r>
      <w:r>
        <w:rPr>
          <w:rFonts w:ascii="Palatino Linotype" w:hAnsi="Palatino Linotype"/>
        </w:rPr>
        <w:t xml:space="preserve"> </w:t>
      </w:r>
      <w:r w:rsidR="000D0765">
        <w:rPr>
          <w:rFonts w:ascii="Palatino Linotype" w:hAnsi="Palatino Linotype"/>
        </w:rPr>
        <w:t xml:space="preserve"> </w:t>
      </w:r>
    </w:p>
    <w:p w14:paraId="56695BC2" w14:textId="7868C022" w:rsidR="007300D4" w:rsidRDefault="00EC6CFC" w:rsidP="00190885">
      <w:pPr>
        <w:rPr>
          <w:rFonts w:ascii="Palatino Linotype" w:hAnsi="Palatino Linotype"/>
        </w:rPr>
      </w:pPr>
      <w:r>
        <w:rPr>
          <w:rFonts w:ascii="Palatino Linotype" w:hAnsi="Palatino Linotype"/>
        </w:rPr>
        <w:t>The queries included in this database were developed to verify that the data in the database match the aggregated data in the Excel file (included in Appendix A)</w:t>
      </w:r>
      <w:r w:rsidR="000D0765">
        <w:rPr>
          <w:rFonts w:ascii="Palatino Linotype" w:hAnsi="Palatino Linotype"/>
        </w:rPr>
        <w:t xml:space="preserve"> which was then used to produce all tables and graphs in this report</w:t>
      </w:r>
      <w:r>
        <w:rPr>
          <w:rFonts w:ascii="Palatino Linotype" w:hAnsi="Palatino Linotype"/>
        </w:rPr>
        <w:t xml:space="preserve">.  The ReadMe file below provides information detailing the contents of each query and identifies the Excel tables each is intended to match.  </w:t>
      </w:r>
    </w:p>
    <w:p w14:paraId="4CE71042" w14:textId="77777777" w:rsidR="00EC6CFC" w:rsidRDefault="00EC6CFC" w:rsidP="00190885">
      <w:pPr>
        <w:rPr>
          <w:rFonts w:ascii="Palatino Linotype" w:hAnsi="Palatino Linotype"/>
        </w:rPr>
      </w:pPr>
    </w:p>
    <w:p w14:paraId="30939518" w14:textId="77777777" w:rsidR="000D0765" w:rsidRDefault="000D0765" w:rsidP="00190885">
      <w:pPr>
        <w:rPr>
          <w:rFonts w:ascii="Palatino Linotype" w:hAnsi="Palatino Linotype"/>
        </w:rPr>
      </w:pPr>
    </w:p>
    <w:bookmarkStart w:id="1" w:name="_MON_1495466878"/>
    <w:bookmarkEnd w:id="1"/>
    <w:p w14:paraId="5767807A" w14:textId="77777777" w:rsidR="00EC6CFC" w:rsidRPr="00EC6CFC" w:rsidRDefault="00EC6CFC" w:rsidP="00190885">
      <w:pPr>
        <w:rPr>
          <w:rFonts w:ascii="Palatino Linotype" w:hAnsi="Palatino Linotype"/>
        </w:rPr>
      </w:pPr>
      <w:r>
        <w:rPr>
          <w:rFonts w:ascii="Palatino Linotype" w:hAnsi="Palatino Linotype"/>
        </w:rPr>
        <w:object w:dxaOrig="1501" w:dyaOrig="980" w14:anchorId="3EA41EF1">
          <v:shape id="_x0000_i1027" type="#_x0000_t75" style="width:73.65pt;height:50.25pt" o:ole="">
            <v:imagedata r:id="rId30" o:title=""/>
          </v:shape>
          <o:OLEObject Type="Embed" ProgID="Word.Document.12" ShapeID="_x0000_i1027" DrawAspect="Icon" ObjectID="_1508141932" r:id="rId31">
            <o:FieldCodes>\s</o:FieldCodes>
          </o:OLEObject>
        </w:object>
      </w:r>
    </w:p>
    <w:p w14:paraId="3C89016F" w14:textId="77777777" w:rsidR="00EC6CFC" w:rsidRDefault="00EC6CFC">
      <w:pPr>
        <w:spacing w:after="0" w:line="240" w:lineRule="auto"/>
        <w:rPr>
          <w:rFonts w:ascii="Palatino Linotype" w:hAnsi="Palatino Linotype"/>
        </w:rPr>
      </w:pPr>
      <w:r>
        <w:rPr>
          <w:rFonts w:ascii="Palatino Linotype" w:hAnsi="Palatino Linotype"/>
        </w:rPr>
        <w:br w:type="page"/>
      </w:r>
    </w:p>
    <w:p w14:paraId="1003E925" w14:textId="12074905" w:rsidR="007300D4" w:rsidRDefault="007300D4" w:rsidP="007300D4">
      <w:pPr>
        <w:rPr>
          <w:rFonts w:ascii="Palatino Linotype" w:hAnsi="Palatino Linotype"/>
        </w:rPr>
      </w:pPr>
      <w:r>
        <w:rPr>
          <w:rFonts w:ascii="Palatino Linotype" w:hAnsi="Palatino Linotype"/>
        </w:rPr>
        <w:lastRenderedPageBreak/>
        <w:t>2013 Ex-post Efficiency Savings and Performance Incentive (ESPI) Mechanism</w:t>
      </w:r>
    </w:p>
    <w:p w14:paraId="0113EF63" w14:textId="51DF1AA8" w:rsidR="007300D4" w:rsidRDefault="007300D4" w:rsidP="007300D4">
      <w:pPr>
        <w:rPr>
          <w:rFonts w:ascii="Palatino Linotype" w:hAnsi="Palatino Linotype"/>
          <w:b/>
        </w:rPr>
      </w:pPr>
      <w:r>
        <w:rPr>
          <w:rFonts w:ascii="Palatino Linotype" w:hAnsi="Palatino Linotype"/>
          <w:b/>
        </w:rPr>
        <w:t xml:space="preserve">Appendix C:  </w:t>
      </w:r>
      <w:r w:rsidR="000A6D70">
        <w:rPr>
          <w:rFonts w:ascii="Palatino Linotype" w:hAnsi="Palatino Linotype"/>
          <w:b/>
        </w:rPr>
        <w:t>Creation of Ex-Post Dataset</w:t>
      </w:r>
    </w:p>
    <w:p w14:paraId="17E6ADE3" w14:textId="77777777" w:rsidR="007300D4" w:rsidRPr="006D4BC8" w:rsidRDefault="007300D4" w:rsidP="007300D4">
      <w:pPr>
        <w:spacing w:after="0"/>
        <w:rPr>
          <w:rFonts w:ascii="Palatino Linotype" w:hAnsi="Palatino Linotype"/>
          <w:b/>
        </w:rPr>
      </w:pPr>
      <w:r>
        <w:rPr>
          <w:rFonts w:ascii="Palatino Linotype" w:hAnsi="Palatino Linotype"/>
          <w:b/>
        </w:rPr>
        <w:t>Claim Data</w:t>
      </w:r>
    </w:p>
    <w:p w14:paraId="07A9979D" w14:textId="5FF380B0" w:rsidR="007300D4" w:rsidRDefault="007300D4" w:rsidP="007300D4">
      <w:pPr>
        <w:spacing w:after="0"/>
        <w:jc w:val="both"/>
        <w:rPr>
          <w:rFonts w:ascii="Palatino Linotype" w:hAnsi="Palatino Linotype"/>
        </w:rPr>
      </w:pPr>
      <w:r w:rsidRPr="009A2EB5">
        <w:rPr>
          <w:rFonts w:ascii="Palatino Linotype" w:hAnsi="Palatino Linotype"/>
        </w:rPr>
        <w:t>The utility energy efficiency program tracking data forms the basis for critical program reporting functions and for evaluation sampling and execution. Th</w:t>
      </w:r>
      <w:r>
        <w:rPr>
          <w:rFonts w:ascii="Palatino Linotype" w:hAnsi="Palatino Linotype"/>
        </w:rPr>
        <w:t xml:space="preserve">e </w:t>
      </w:r>
      <w:r w:rsidR="00D34753">
        <w:rPr>
          <w:rFonts w:ascii="Palatino Linotype" w:hAnsi="Palatino Linotype"/>
        </w:rPr>
        <w:t xml:space="preserve">cumulative 2013 Q1 – 2014 Q4 </w:t>
      </w:r>
      <w:r>
        <w:rPr>
          <w:rFonts w:ascii="Palatino Linotype" w:hAnsi="Palatino Linotype"/>
        </w:rPr>
        <w:t>quarterly tracking claim</w:t>
      </w:r>
      <w:r w:rsidRPr="009A2EB5">
        <w:rPr>
          <w:rFonts w:ascii="Palatino Linotype" w:hAnsi="Palatino Linotype"/>
        </w:rPr>
        <w:t xml:space="preserve"> data </w:t>
      </w:r>
      <w:r w:rsidR="00EE7E11">
        <w:rPr>
          <w:rFonts w:ascii="Palatino Linotype" w:hAnsi="Palatino Linotype"/>
        </w:rPr>
        <w:t xml:space="preserve">subset for 2013 </w:t>
      </w:r>
      <w:r>
        <w:rPr>
          <w:rFonts w:ascii="Palatino Linotype" w:hAnsi="Palatino Linotype"/>
        </w:rPr>
        <w:t xml:space="preserve">is the </w:t>
      </w:r>
      <w:r w:rsidRPr="009A2EB5">
        <w:rPr>
          <w:rFonts w:ascii="Palatino Linotype" w:hAnsi="Palatino Linotype"/>
        </w:rPr>
        <w:t>foundation</w:t>
      </w:r>
      <w:r>
        <w:rPr>
          <w:rFonts w:ascii="Palatino Linotype" w:hAnsi="Palatino Linotype"/>
        </w:rPr>
        <w:t xml:space="preserve"> for the values in this report. </w:t>
      </w:r>
    </w:p>
    <w:p w14:paraId="102A13B7" w14:textId="77777777" w:rsidR="007300D4" w:rsidRDefault="007300D4" w:rsidP="007300D4">
      <w:pPr>
        <w:spacing w:after="0"/>
        <w:rPr>
          <w:rFonts w:ascii="Palatino Linotype" w:hAnsi="Palatino Linotype"/>
        </w:rPr>
      </w:pPr>
    </w:p>
    <w:p w14:paraId="3943175E" w14:textId="77777777" w:rsidR="007300D4" w:rsidRDefault="007300D4" w:rsidP="007300D4">
      <w:pPr>
        <w:spacing w:after="0"/>
        <w:rPr>
          <w:rFonts w:ascii="Palatino Linotype" w:hAnsi="Palatino Linotype"/>
          <w:i/>
        </w:rPr>
      </w:pPr>
      <w:r>
        <w:rPr>
          <w:rFonts w:ascii="Palatino Linotype" w:hAnsi="Palatino Linotype"/>
          <w:i/>
        </w:rPr>
        <w:t>Claim Submission Processing</w:t>
      </w:r>
    </w:p>
    <w:p w14:paraId="5DE43A5A" w14:textId="1B9CC265" w:rsidR="007300D4" w:rsidRDefault="007300D4" w:rsidP="007300D4">
      <w:pPr>
        <w:spacing w:after="0"/>
        <w:jc w:val="both"/>
        <w:rPr>
          <w:rFonts w:ascii="Palatino Linotype" w:hAnsi="Palatino Linotype"/>
        </w:rPr>
      </w:pPr>
      <w:r>
        <w:rPr>
          <w:rFonts w:ascii="Palatino Linotype" w:hAnsi="Palatino Linotype"/>
        </w:rPr>
        <w:t>The following steps were followed to process the program tracking data in preparation for ESPI 2013:</w:t>
      </w:r>
    </w:p>
    <w:p w14:paraId="179F7A4C" w14:textId="77777777" w:rsidR="007300D4" w:rsidRDefault="007300D4" w:rsidP="007300D4">
      <w:pPr>
        <w:spacing w:after="0"/>
        <w:rPr>
          <w:rFonts w:ascii="Palatino Linotype" w:hAnsi="Palatino Linotype"/>
        </w:rPr>
      </w:pPr>
    </w:p>
    <w:p w14:paraId="0CB3F4A2" w14:textId="77777777" w:rsidR="00EE7E11" w:rsidRPr="006D4BC8" w:rsidRDefault="00EE7E11" w:rsidP="00511394">
      <w:pPr>
        <w:spacing w:after="0"/>
        <w:ind w:left="720"/>
        <w:rPr>
          <w:rFonts w:ascii="Palatino Linotype" w:hAnsi="Palatino Linotype"/>
        </w:rPr>
      </w:pPr>
      <w:r w:rsidRPr="006D4BC8">
        <w:rPr>
          <w:rFonts w:ascii="Palatino Linotype" w:hAnsi="Palatino Linotype"/>
        </w:rPr>
        <w:t>1.</w:t>
      </w:r>
      <w:r>
        <w:rPr>
          <w:rFonts w:ascii="Palatino Linotype" w:hAnsi="Palatino Linotype"/>
        </w:rPr>
        <w:t xml:space="preserve"> </w:t>
      </w:r>
      <w:r w:rsidRPr="006D4BC8">
        <w:rPr>
          <w:rFonts w:ascii="Palatino Linotype" w:hAnsi="Palatino Linotype"/>
        </w:rPr>
        <w:t>Receive FTP link to download data from IOUs</w:t>
      </w:r>
    </w:p>
    <w:p w14:paraId="6EBCB314" w14:textId="77777777" w:rsidR="00EE7E11" w:rsidRPr="006D4BC8" w:rsidRDefault="00EE7E11" w:rsidP="00511394">
      <w:pPr>
        <w:spacing w:after="0"/>
        <w:ind w:left="720"/>
        <w:rPr>
          <w:rFonts w:ascii="Palatino Linotype" w:hAnsi="Palatino Linotype"/>
        </w:rPr>
      </w:pPr>
      <w:r>
        <w:rPr>
          <w:rFonts w:ascii="Palatino Linotype" w:hAnsi="Palatino Linotype"/>
        </w:rPr>
        <w:t xml:space="preserve">2. </w:t>
      </w:r>
      <w:r w:rsidRPr="006D4BC8">
        <w:rPr>
          <w:rFonts w:ascii="Palatino Linotype" w:hAnsi="Palatino Linotype"/>
        </w:rPr>
        <w:t>Write IOU data together into standardized tables</w:t>
      </w:r>
    </w:p>
    <w:p w14:paraId="582F0A5D" w14:textId="77777777" w:rsidR="00EE7E11" w:rsidRPr="006D4BC8" w:rsidRDefault="00EE7E11" w:rsidP="00511394">
      <w:pPr>
        <w:spacing w:after="0"/>
        <w:ind w:left="720"/>
        <w:rPr>
          <w:rFonts w:ascii="Palatino Linotype" w:hAnsi="Palatino Linotype"/>
        </w:rPr>
      </w:pPr>
      <w:r>
        <w:rPr>
          <w:rFonts w:ascii="Palatino Linotype" w:hAnsi="Palatino Linotype"/>
        </w:rPr>
        <w:t>3. Clean data and create</w:t>
      </w:r>
      <w:r w:rsidRPr="006D4BC8">
        <w:rPr>
          <w:rFonts w:ascii="Palatino Linotype" w:hAnsi="Palatino Linotype"/>
        </w:rPr>
        <w:t xml:space="preserve"> “EDFilled” table</w:t>
      </w:r>
    </w:p>
    <w:p w14:paraId="1FAD749E" w14:textId="77777777" w:rsidR="00EE7E11" w:rsidRDefault="00EE7E11" w:rsidP="00511394">
      <w:pPr>
        <w:spacing w:after="0"/>
        <w:ind w:left="720"/>
        <w:rPr>
          <w:rFonts w:ascii="Palatino Linotype" w:hAnsi="Palatino Linotype"/>
        </w:rPr>
      </w:pPr>
      <w:r>
        <w:rPr>
          <w:rFonts w:ascii="Palatino Linotype" w:hAnsi="Palatino Linotype"/>
        </w:rPr>
        <w:t xml:space="preserve">4. </w:t>
      </w:r>
      <w:r w:rsidRPr="006D4BC8">
        <w:rPr>
          <w:rFonts w:ascii="Palatino Linotype" w:hAnsi="Palatino Linotype"/>
        </w:rPr>
        <w:t>Quality check the data submission</w:t>
      </w:r>
    </w:p>
    <w:p w14:paraId="297E48AA" w14:textId="5BF2275D" w:rsidR="007300D4" w:rsidRPr="006D4BC8" w:rsidRDefault="00EE7E11" w:rsidP="00511394">
      <w:pPr>
        <w:spacing w:after="0"/>
        <w:ind w:left="720"/>
        <w:rPr>
          <w:rFonts w:ascii="Palatino Linotype" w:hAnsi="Palatino Linotype"/>
        </w:rPr>
      </w:pPr>
      <w:r>
        <w:rPr>
          <w:rFonts w:ascii="Palatino Linotype" w:hAnsi="Palatino Linotype"/>
        </w:rPr>
        <w:t xml:space="preserve">5. Post </w:t>
      </w:r>
      <w:r w:rsidRPr="006D4BC8">
        <w:rPr>
          <w:rFonts w:ascii="Palatino Linotype" w:hAnsi="Palatino Linotype"/>
        </w:rPr>
        <w:t xml:space="preserve">IOU data submissions </w:t>
      </w:r>
      <w:r>
        <w:rPr>
          <w:rFonts w:ascii="Palatino Linotype" w:hAnsi="Palatino Linotype"/>
        </w:rPr>
        <w:t xml:space="preserve">and “EDFilled” table </w:t>
      </w:r>
      <w:r w:rsidRPr="006D4BC8">
        <w:rPr>
          <w:rFonts w:ascii="Palatino Linotype" w:hAnsi="Palatino Linotype"/>
        </w:rPr>
        <w:t>onto ED Central Server (EDCS) and into SQL Server database</w:t>
      </w:r>
      <w:r w:rsidRPr="006D4BC8" w:rsidDel="00EE7E11">
        <w:rPr>
          <w:rFonts w:ascii="Palatino Linotype" w:hAnsi="Palatino Linotype"/>
        </w:rPr>
        <w:t xml:space="preserve"> </w:t>
      </w:r>
    </w:p>
    <w:p w14:paraId="6CB6723A" w14:textId="77777777" w:rsidR="007300D4" w:rsidRDefault="007300D4" w:rsidP="007300D4">
      <w:pPr>
        <w:spacing w:after="0"/>
        <w:rPr>
          <w:rFonts w:ascii="Palatino Linotype" w:hAnsi="Palatino Linotype"/>
        </w:rPr>
      </w:pPr>
    </w:p>
    <w:p w14:paraId="2E491E6C" w14:textId="77777777" w:rsidR="007300D4" w:rsidRDefault="007300D4" w:rsidP="007300D4">
      <w:pPr>
        <w:spacing w:after="0"/>
        <w:rPr>
          <w:rFonts w:ascii="Palatino Linotype" w:hAnsi="Palatino Linotype"/>
          <w:i/>
        </w:rPr>
      </w:pPr>
      <w:r w:rsidRPr="0019176E">
        <w:rPr>
          <w:rFonts w:ascii="Palatino Linotype" w:hAnsi="Palatino Linotype"/>
          <w:i/>
        </w:rPr>
        <w:t>Data Cleaning</w:t>
      </w:r>
    </w:p>
    <w:p w14:paraId="4620D8BF" w14:textId="77777777" w:rsidR="007300D4" w:rsidRDefault="007300D4" w:rsidP="007300D4">
      <w:pPr>
        <w:spacing w:after="0"/>
        <w:jc w:val="both"/>
        <w:rPr>
          <w:rFonts w:ascii="Palatino Linotype" w:hAnsi="Palatino Linotype"/>
        </w:rPr>
      </w:pPr>
      <w:r w:rsidRPr="0019176E">
        <w:rPr>
          <w:rFonts w:ascii="Palatino Linotype" w:hAnsi="Palatino Linotype"/>
        </w:rPr>
        <w:t xml:space="preserve">Although the IOU claims </w:t>
      </w:r>
      <w:r>
        <w:rPr>
          <w:rFonts w:ascii="Palatino Linotype" w:hAnsi="Palatino Linotype"/>
        </w:rPr>
        <w:t>have continuously improved from quarter-to-quarter and cycle-to-cycle</w:t>
      </w:r>
      <w:r w:rsidRPr="0019176E">
        <w:rPr>
          <w:rFonts w:ascii="Palatino Linotype" w:hAnsi="Palatino Linotype"/>
        </w:rPr>
        <w:t>, the central data set still required some level of data cleaning to enable processing through the cost effectiven</w:t>
      </w:r>
      <w:r>
        <w:rPr>
          <w:rFonts w:ascii="Palatino Linotype" w:hAnsi="Palatino Linotype"/>
        </w:rPr>
        <w:t xml:space="preserve">ess tool. Data elements </w:t>
      </w:r>
      <w:r w:rsidRPr="0019176E">
        <w:rPr>
          <w:rFonts w:ascii="Palatino Linotype" w:hAnsi="Palatino Linotype"/>
        </w:rPr>
        <w:t>necessary for evaluation were cleaned by the CPUC evaluation contractors in conjunction with IOU staff. Throughout the cycle, the amount of data cleaning necessary was continuously reduced as IOUs improved their reporting capabilities. The result of the data cleaning process was a table named “EDFilled,” which contains all cleaned ex-ante IOU data necessary</w:t>
      </w:r>
      <w:r>
        <w:rPr>
          <w:rFonts w:ascii="Palatino Linotype" w:hAnsi="Palatino Linotype"/>
        </w:rPr>
        <w:t xml:space="preserve"> for evaluation teams</w:t>
      </w:r>
      <w:r w:rsidRPr="0019176E">
        <w:rPr>
          <w:rFonts w:ascii="Palatino Linotype" w:hAnsi="Palatino Linotype"/>
        </w:rPr>
        <w:t>.</w:t>
      </w:r>
    </w:p>
    <w:p w14:paraId="7527E41C" w14:textId="77777777" w:rsidR="007300D4" w:rsidRDefault="007300D4" w:rsidP="007300D4">
      <w:pPr>
        <w:spacing w:after="0"/>
        <w:rPr>
          <w:rFonts w:ascii="Palatino Linotype" w:hAnsi="Palatino Linotype"/>
        </w:rPr>
      </w:pPr>
    </w:p>
    <w:p w14:paraId="16670661" w14:textId="77777777" w:rsidR="007300D4" w:rsidRDefault="007300D4" w:rsidP="007300D4">
      <w:pPr>
        <w:spacing w:after="0"/>
        <w:rPr>
          <w:rFonts w:ascii="Palatino Linotype" w:hAnsi="Palatino Linotype"/>
          <w:i/>
        </w:rPr>
      </w:pPr>
      <w:r w:rsidRPr="0019176E">
        <w:rPr>
          <w:rFonts w:ascii="Palatino Linotype" w:hAnsi="Palatino Linotype"/>
          <w:i/>
        </w:rPr>
        <w:t>Validation and Quality Control</w:t>
      </w:r>
    </w:p>
    <w:p w14:paraId="096C62A0" w14:textId="2C1561AD" w:rsidR="007300D4" w:rsidRPr="0019176E" w:rsidRDefault="007300D4" w:rsidP="007300D4">
      <w:pPr>
        <w:spacing w:after="0"/>
        <w:jc w:val="both"/>
        <w:rPr>
          <w:rFonts w:ascii="Palatino Linotype" w:hAnsi="Palatino Linotype"/>
        </w:rPr>
      </w:pPr>
      <w:r w:rsidRPr="00B049C9">
        <w:rPr>
          <w:rFonts w:ascii="Palatino Linotype" w:hAnsi="Palatino Linotype"/>
        </w:rPr>
        <w:t>The main component of the Energy Division’s data cleaning process was a quality control algorithm. All quality control algorithms were communicated to the IOUs via the Data Transfer Tool, an Access file that the PAs use to transfer their quarterly tracking data to the ED and QC their own data before transferring. The end product was a clean, consistent data set of claims which were ready for evaluation sampling and update.</w:t>
      </w:r>
    </w:p>
    <w:p w14:paraId="1E104E1F" w14:textId="77777777" w:rsidR="007300D4" w:rsidRDefault="007300D4" w:rsidP="007300D4">
      <w:pPr>
        <w:spacing w:after="0"/>
        <w:rPr>
          <w:rFonts w:ascii="Palatino Linotype" w:hAnsi="Palatino Linotype"/>
        </w:rPr>
      </w:pPr>
    </w:p>
    <w:p w14:paraId="7291C55D" w14:textId="77777777" w:rsidR="007300D4" w:rsidRDefault="007300D4" w:rsidP="007300D4">
      <w:pPr>
        <w:spacing w:after="0"/>
        <w:rPr>
          <w:rFonts w:ascii="Palatino Linotype" w:hAnsi="Palatino Linotype"/>
          <w:b/>
        </w:rPr>
      </w:pPr>
      <w:r>
        <w:rPr>
          <w:rFonts w:ascii="Palatino Linotype" w:hAnsi="Palatino Linotype"/>
          <w:b/>
        </w:rPr>
        <w:lastRenderedPageBreak/>
        <w:t>Evaluation Data</w:t>
      </w:r>
    </w:p>
    <w:p w14:paraId="5D4D7346" w14:textId="566C2FBF" w:rsidR="007300D4" w:rsidRDefault="007300D4" w:rsidP="007300D4">
      <w:pPr>
        <w:spacing w:after="0"/>
        <w:jc w:val="both"/>
        <w:rPr>
          <w:rFonts w:ascii="Palatino Linotype" w:hAnsi="Palatino Linotype"/>
        </w:rPr>
      </w:pPr>
      <w:r>
        <w:rPr>
          <w:rFonts w:ascii="Palatino Linotype" w:hAnsi="Palatino Linotype"/>
        </w:rPr>
        <w:t>Evaluation data provided in the final 2013 ES</w:t>
      </w:r>
      <w:r w:rsidR="00E66535">
        <w:rPr>
          <w:rFonts w:ascii="Palatino Linotype" w:hAnsi="Palatino Linotype"/>
        </w:rPr>
        <w:t>PI memos forms the basis for ex-</w:t>
      </w:r>
      <w:r>
        <w:rPr>
          <w:rFonts w:ascii="Palatino Linotype" w:hAnsi="Palatino Linotype"/>
        </w:rPr>
        <w:t>post updates for this report. Evaluation data is reported by evaluation teams, and each evaluation team provides stratum-level results for each parameter being evaluated. The evaluation results are discussed in detail in the ESPI memorandums.</w:t>
      </w:r>
      <w:r>
        <w:rPr>
          <w:rStyle w:val="FootnoteReference"/>
          <w:rFonts w:ascii="Palatino Linotype" w:hAnsi="Palatino Linotype"/>
        </w:rPr>
        <w:footnoteReference w:id="6"/>
      </w:r>
    </w:p>
    <w:p w14:paraId="7F4C333F" w14:textId="77777777" w:rsidR="007300D4" w:rsidRDefault="007300D4" w:rsidP="007300D4">
      <w:pPr>
        <w:spacing w:after="0"/>
        <w:rPr>
          <w:rFonts w:ascii="Palatino Linotype" w:hAnsi="Palatino Linotype"/>
        </w:rPr>
      </w:pPr>
    </w:p>
    <w:p w14:paraId="2956EA87" w14:textId="77777777" w:rsidR="007300D4" w:rsidRDefault="007300D4" w:rsidP="007300D4">
      <w:pPr>
        <w:spacing w:after="0"/>
        <w:rPr>
          <w:rFonts w:ascii="Palatino Linotype" w:hAnsi="Palatino Linotype"/>
          <w:i/>
        </w:rPr>
      </w:pPr>
      <w:r w:rsidRPr="00E43DA8">
        <w:rPr>
          <w:rFonts w:ascii="Palatino Linotype" w:hAnsi="Palatino Linotype"/>
          <w:i/>
        </w:rPr>
        <w:t>Evaluation Data Processing</w:t>
      </w:r>
    </w:p>
    <w:p w14:paraId="06701397" w14:textId="77777777" w:rsidR="007300D4" w:rsidRDefault="007300D4" w:rsidP="007300D4">
      <w:pPr>
        <w:spacing w:after="0"/>
        <w:rPr>
          <w:rFonts w:ascii="Palatino Linotype" w:hAnsi="Palatino Linotype"/>
        </w:rPr>
      </w:pPr>
      <w:r>
        <w:rPr>
          <w:rFonts w:ascii="Palatino Linotype" w:hAnsi="Palatino Linotype"/>
        </w:rPr>
        <w:t>The following steps were followed to process the evaluation data in preparation for ESPI 2013:</w:t>
      </w:r>
    </w:p>
    <w:p w14:paraId="14AC3377" w14:textId="77777777" w:rsidR="007300D4" w:rsidRPr="00E43DA8" w:rsidRDefault="007300D4" w:rsidP="007300D4">
      <w:pPr>
        <w:spacing w:after="0"/>
        <w:rPr>
          <w:rFonts w:ascii="Palatino Linotype" w:hAnsi="Palatino Linotype"/>
        </w:rPr>
      </w:pPr>
    </w:p>
    <w:p w14:paraId="2D3F2B22" w14:textId="77777777" w:rsidR="007300D4" w:rsidRPr="00E43DA8" w:rsidRDefault="007300D4" w:rsidP="007300D4">
      <w:pPr>
        <w:spacing w:after="0"/>
        <w:ind w:left="720"/>
        <w:rPr>
          <w:rFonts w:ascii="Palatino Linotype" w:hAnsi="Palatino Linotype"/>
        </w:rPr>
      </w:pPr>
      <w:r w:rsidRPr="00E43DA8">
        <w:rPr>
          <w:rFonts w:ascii="Palatino Linotype" w:hAnsi="Palatino Linotype"/>
        </w:rPr>
        <w:t>1.</w:t>
      </w:r>
      <w:r>
        <w:rPr>
          <w:rFonts w:ascii="Palatino Linotype" w:hAnsi="Palatino Linotype"/>
        </w:rPr>
        <w:t xml:space="preserve"> </w:t>
      </w:r>
      <w:r w:rsidRPr="00E43DA8">
        <w:rPr>
          <w:rFonts w:ascii="Palatino Linotype" w:hAnsi="Palatino Linotype"/>
        </w:rPr>
        <w:t xml:space="preserve">Evaluation team posts </w:t>
      </w:r>
      <w:r>
        <w:rPr>
          <w:rFonts w:ascii="Palatino Linotype" w:hAnsi="Palatino Linotype"/>
        </w:rPr>
        <w:t xml:space="preserve">evaluation </w:t>
      </w:r>
      <w:r w:rsidRPr="00E43DA8">
        <w:rPr>
          <w:rFonts w:ascii="Palatino Linotype" w:hAnsi="Palatino Linotype"/>
        </w:rPr>
        <w:t xml:space="preserve">data submission </w:t>
      </w:r>
      <w:r>
        <w:rPr>
          <w:rFonts w:ascii="Palatino Linotype" w:hAnsi="Palatino Linotype"/>
        </w:rPr>
        <w:t>database</w:t>
      </w:r>
      <w:r w:rsidRPr="00E43DA8">
        <w:rPr>
          <w:rFonts w:ascii="Palatino Linotype" w:hAnsi="Palatino Linotype"/>
        </w:rPr>
        <w:t xml:space="preserve"> to </w:t>
      </w:r>
      <w:r>
        <w:rPr>
          <w:rFonts w:ascii="Palatino Linotype" w:hAnsi="Palatino Linotype"/>
        </w:rPr>
        <w:t>Smartfile</w:t>
      </w:r>
    </w:p>
    <w:p w14:paraId="6B667517" w14:textId="77777777" w:rsidR="007300D4" w:rsidRPr="00E43DA8" w:rsidRDefault="007300D4" w:rsidP="007300D4">
      <w:pPr>
        <w:spacing w:after="0"/>
        <w:ind w:left="720"/>
        <w:rPr>
          <w:rFonts w:ascii="Palatino Linotype" w:hAnsi="Palatino Linotype"/>
        </w:rPr>
      </w:pPr>
      <w:r>
        <w:rPr>
          <w:rFonts w:ascii="Palatino Linotype" w:hAnsi="Palatino Linotype"/>
        </w:rPr>
        <w:t xml:space="preserve">2. </w:t>
      </w:r>
      <w:r w:rsidRPr="00E43DA8">
        <w:rPr>
          <w:rFonts w:ascii="Palatino Linotype" w:hAnsi="Palatino Linotype"/>
        </w:rPr>
        <w:t>Bring evaluation data into SQL Server database</w:t>
      </w:r>
    </w:p>
    <w:p w14:paraId="54A6E6F8" w14:textId="77777777" w:rsidR="007300D4" w:rsidRPr="00E43DA8" w:rsidRDefault="007300D4" w:rsidP="007300D4">
      <w:pPr>
        <w:spacing w:after="0"/>
        <w:ind w:left="720"/>
        <w:rPr>
          <w:rFonts w:ascii="Palatino Linotype" w:hAnsi="Palatino Linotype"/>
        </w:rPr>
      </w:pPr>
      <w:r>
        <w:rPr>
          <w:rFonts w:ascii="Palatino Linotype" w:hAnsi="Palatino Linotype"/>
        </w:rPr>
        <w:t xml:space="preserve">3. </w:t>
      </w:r>
      <w:r w:rsidRPr="00E43DA8">
        <w:rPr>
          <w:rFonts w:ascii="Palatino Linotype" w:hAnsi="Palatino Linotype"/>
        </w:rPr>
        <w:t>Write evaluation data together into the Evaluation table</w:t>
      </w:r>
    </w:p>
    <w:p w14:paraId="21F79C6D" w14:textId="77777777" w:rsidR="007300D4" w:rsidRPr="00B679BC" w:rsidRDefault="007300D4" w:rsidP="007300D4">
      <w:pPr>
        <w:spacing w:after="0"/>
        <w:ind w:left="720"/>
        <w:rPr>
          <w:rFonts w:ascii="Palatino Linotype" w:hAnsi="Palatino Linotype"/>
        </w:rPr>
      </w:pPr>
      <w:r>
        <w:rPr>
          <w:rFonts w:ascii="Palatino Linotype" w:hAnsi="Palatino Linotype"/>
        </w:rPr>
        <w:t xml:space="preserve">4. </w:t>
      </w:r>
      <w:r w:rsidRPr="00E43DA8">
        <w:rPr>
          <w:rFonts w:ascii="Palatino Linotype" w:hAnsi="Palatino Linotype"/>
        </w:rPr>
        <w:t>Quality check the data submission</w:t>
      </w:r>
    </w:p>
    <w:p w14:paraId="3338BD64" w14:textId="77777777" w:rsidR="007300D4" w:rsidRDefault="007300D4" w:rsidP="007300D4">
      <w:pPr>
        <w:rPr>
          <w:rFonts w:ascii="Palatino Linotype" w:hAnsi="Palatino Linotype"/>
          <w:b/>
        </w:rPr>
      </w:pPr>
    </w:p>
    <w:p w14:paraId="22C67D39" w14:textId="77777777" w:rsidR="007300D4" w:rsidRDefault="007300D4" w:rsidP="007300D4">
      <w:pPr>
        <w:pStyle w:val="Caption"/>
        <w:keepNext/>
        <w:keepLines/>
        <w:jc w:val="center"/>
        <w:rPr>
          <w:rFonts w:ascii="Palatino Linotype" w:hAnsi="Palatino Linotype"/>
          <w:b w:val="0"/>
        </w:rPr>
      </w:pPr>
      <w:r>
        <w:lastRenderedPageBreak/>
        <w:t xml:space="preserve">Figure </w:t>
      </w:r>
      <w:fldSimple w:instr=" SEQ Figure \* ARABIC ">
        <w:r>
          <w:rPr>
            <w:noProof/>
          </w:rPr>
          <w:t>1</w:t>
        </w:r>
      </w:fldSimple>
      <w:r>
        <w:t>: Claims Processing</w:t>
      </w:r>
    </w:p>
    <w:p w14:paraId="33BEA9A8" w14:textId="77777777" w:rsidR="007300D4" w:rsidRDefault="007300D4" w:rsidP="007300D4">
      <w:pPr>
        <w:keepNext/>
        <w:keepLines/>
        <w:rPr>
          <w:rFonts w:ascii="Palatino Linotype" w:hAnsi="Palatino Linotype"/>
          <w:b/>
        </w:rPr>
      </w:pPr>
      <w:r w:rsidRPr="00B049C9">
        <w:rPr>
          <w:rFonts w:ascii="Palatino Linotype" w:hAnsi="Palatino Linotype"/>
          <w:b/>
          <w:noProof/>
        </w:rPr>
        <w:drawing>
          <wp:inline distT="0" distB="0" distL="0" distR="0" wp14:anchorId="548FFB42" wp14:editId="32A6E6AC">
            <wp:extent cx="5933440" cy="4881880"/>
            <wp:effectExtent l="25400" t="0" r="10160" b="0"/>
            <wp:docPr id="8" name="Picture 1" descr=":espi_flow_2015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i_flow_20150521.png"/>
                    <pic:cNvPicPr>
                      <a:picLocks noChangeAspect="1" noChangeArrowheads="1"/>
                    </pic:cNvPicPr>
                  </pic:nvPicPr>
                  <pic:blipFill>
                    <a:blip r:embed="rId32"/>
                    <a:srcRect/>
                    <a:stretch>
                      <a:fillRect/>
                    </a:stretch>
                  </pic:blipFill>
                  <pic:spPr bwMode="auto">
                    <a:xfrm>
                      <a:off x="0" y="0"/>
                      <a:ext cx="5933440" cy="4881880"/>
                    </a:xfrm>
                    <a:prstGeom prst="rect">
                      <a:avLst/>
                    </a:prstGeom>
                    <a:noFill/>
                    <a:ln w="9525">
                      <a:noFill/>
                      <a:miter lim="800000"/>
                      <a:headEnd/>
                      <a:tailEnd/>
                    </a:ln>
                  </pic:spPr>
                </pic:pic>
              </a:graphicData>
            </a:graphic>
          </wp:inline>
        </w:drawing>
      </w:r>
    </w:p>
    <w:p w14:paraId="347F637B" w14:textId="77777777" w:rsidR="007300D4" w:rsidRDefault="007300D4" w:rsidP="007300D4">
      <w:pPr>
        <w:spacing w:after="0" w:line="240" w:lineRule="auto"/>
        <w:rPr>
          <w:rFonts w:ascii="Palatino Linotype" w:hAnsi="Palatino Linotype"/>
          <w:b/>
        </w:rPr>
      </w:pPr>
      <w:r>
        <w:rPr>
          <w:rFonts w:ascii="Palatino Linotype" w:hAnsi="Palatino Linotype"/>
          <w:b/>
        </w:rPr>
        <w:br w:type="page"/>
      </w:r>
    </w:p>
    <w:p w14:paraId="16182A2C" w14:textId="77777777" w:rsidR="007300D4" w:rsidRDefault="007300D4" w:rsidP="007300D4">
      <w:pPr>
        <w:rPr>
          <w:rFonts w:ascii="Palatino Linotype" w:hAnsi="Palatino Linotype"/>
          <w:b/>
        </w:rPr>
      </w:pPr>
      <w:r>
        <w:rPr>
          <w:rFonts w:ascii="Palatino Linotype" w:hAnsi="Palatino Linotype"/>
          <w:b/>
        </w:rPr>
        <w:lastRenderedPageBreak/>
        <w:t xml:space="preserve">Evaluation Decision Framework </w:t>
      </w:r>
    </w:p>
    <w:p w14:paraId="38168E36" w14:textId="1E5C9D04" w:rsidR="007300D4" w:rsidRDefault="007300D4" w:rsidP="007300D4">
      <w:pPr>
        <w:rPr>
          <w:rFonts w:ascii="Palatino Linotype" w:hAnsi="Palatino Linotype"/>
        </w:rPr>
      </w:pPr>
      <w:r w:rsidRPr="005B2FD2">
        <w:rPr>
          <w:rFonts w:ascii="Palatino Linotype" w:hAnsi="Palatino Linotype"/>
        </w:rPr>
        <w:t xml:space="preserve">Commission staff utilized the detailed quarterly </w:t>
      </w:r>
      <w:r w:rsidR="00EE7E11">
        <w:rPr>
          <w:rFonts w:ascii="Palatino Linotype" w:hAnsi="Palatino Linotype"/>
        </w:rPr>
        <w:t xml:space="preserve">tracking </w:t>
      </w:r>
      <w:r w:rsidRPr="005B2FD2">
        <w:rPr>
          <w:rFonts w:ascii="Palatino Linotype" w:hAnsi="Palatino Linotype"/>
        </w:rPr>
        <w:t xml:space="preserve">data, described in the prior section, as the foundation for prioritizing evaluation activities </w:t>
      </w:r>
      <w:r>
        <w:rPr>
          <w:rFonts w:ascii="Palatino Linotype" w:hAnsi="Palatino Linotype"/>
        </w:rPr>
        <w:t>and</w:t>
      </w:r>
      <w:r w:rsidRPr="005B2FD2">
        <w:rPr>
          <w:rFonts w:ascii="Palatino Linotype" w:hAnsi="Palatino Linotype"/>
        </w:rPr>
        <w:t xml:space="preserve"> applying updates from evaluation work. The detailed evaluation plans </w:t>
      </w:r>
      <w:r>
        <w:rPr>
          <w:rFonts w:ascii="Palatino Linotype" w:hAnsi="Palatino Linotype"/>
        </w:rPr>
        <w:t xml:space="preserve">carried out </w:t>
      </w:r>
      <w:r w:rsidRPr="005B2FD2">
        <w:rPr>
          <w:rFonts w:ascii="Palatino Linotype" w:hAnsi="Palatino Linotype"/>
        </w:rPr>
        <w:t xml:space="preserve">Commission staff’s guidance to make updates to the claims on a parameter basis in addition to meeting other evaluation objectives. </w:t>
      </w:r>
    </w:p>
    <w:p w14:paraId="545A783F" w14:textId="77777777" w:rsidR="007300D4" w:rsidRPr="005B2FD2" w:rsidRDefault="007300D4" w:rsidP="007300D4">
      <w:pPr>
        <w:rPr>
          <w:rFonts w:ascii="Palatino Linotype" w:hAnsi="Palatino Linotype"/>
        </w:rPr>
      </w:pPr>
      <w:r w:rsidRPr="005B2FD2">
        <w:rPr>
          <w:rFonts w:ascii="Palatino Linotype" w:hAnsi="Palatino Linotype"/>
        </w:rPr>
        <w:t>Commission staff and evaluation contractors utilized the following options in making updates to the utility savings claims for the aforementioned parameters:</w:t>
      </w:r>
    </w:p>
    <w:p w14:paraId="2DC3DF6E" w14:textId="77777777" w:rsidR="007300D4" w:rsidRPr="005B2FD2" w:rsidRDefault="007300D4" w:rsidP="009819D4">
      <w:pPr>
        <w:ind w:left="720"/>
        <w:rPr>
          <w:rFonts w:ascii="Palatino Linotype" w:hAnsi="Palatino Linotype"/>
        </w:rPr>
      </w:pPr>
      <w:r w:rsidRPr="005B2FD2">
        <w:rPr>
          <w:rFonts w:ascii="Palatino Linotype" w:hAnsi="Palatino Linotype"/>
        </w:rPr>
        <w:t>1. Pass through: Accept reported savings values for claims that do not fall within the frame of an impact evaluation (no change); or</w:t>
      </w:r>
    </w:p>
    <w:p w14:paraId="4E5F50EF" w14:textId="77777777" w:rsidR="007300D4" w:rsidRDefault="007300D4" w:rsidP="009819D4">
      <w:pPr>
        <w:ind w:left="720"/>
        <w:rPr>
          <w:rFonts w:ascii="Palatino Linotype" w:hAnsi="Palatino Linotype"/>
        </w:rPr>
      </w:pPr>
      <w:r w:rsidRPr="005B2FD2">
        <w:rPr>
          <w:rFonts w:ascii="Palatino Linotype" w:hAnsi="Palatino Linotype"/>
        </w:rPr>
        <w:t>2. Leverage results from an evaluation study: Apply stratum-level results to records included in the frame of an impact evaluation. These data are considered “evaluated results” and are used in the context of this report.</w:t>
      </w:r>
    </w:p>
    <w:p w14:paraId="39B0AFB9" w14:textId="77777777" w:rsidR="007300D4" w:rsidRPr="00503376" w:rsidRDefault="007300D4" w:rsidP="007300D4">
      <w:pPr>
        <w:rPr>
          <w:rFonts w:ascii="Palatino Linotype" w:hAnsi="Palatino Linotype"/>
          <w:b/>
        </w:rPr>
      </w:pPr>
      <w:r w:rsidRPr="00503376">
        <w:rPr>
          <w:rFonts w:ascii="Palatino Linotype" w:hAnsi="Palatino Linotype"/>
          <w:b/>
        </w:rPr>
        <w:t>Evaluation Decision Tree</w:t>
      </w:r>
    </w:p>
    <w:p w14:paraId="4A523050" w14:textId="51C04F06" w:rsidR="007300D4" w:rsidRDefault="007300D4" w:rsidP="007300D4">
      <w:pPr>
        <w:rPr>
          <w:rFonts w:ascii="Palatino Linotype" w:hAnsi="Palatino Linotype"/>
        </w:rPr>
      </w:pPr>
      <w:r w:rsidRPr="005B2FD2">
        <w:rPr>
          <w:rFonts w:ascii="Palatino Linotype" w:hAnsi="Palatino Linotype"/>
        </w:rPr>
        <w:t>The decision tree in the following figure illustrates how IOU claims were updated with eva</w:t>
      </w:r>
      <w:r>
        <w:rPr>
          <w:rFonts w:ascii="Palatino Linotype" w:hAnsi="Palatino Linotype"/>
        </w:rPr>
        <w:t xml:space="preserve">luation results for ESPI 2013 and </w:t>
      </w:r>
      <w:r w:rsidRPr="005B2FD2">
        <w:rPr>
          <w:rFonts w:ascii="Palatino Linotype" w:hAnsi="Palatino Linotype"/>
        </w:rPr>
        <w:t>a</w:t>
      </w:r>
      <w:r>
        <w:rPr>
          <w:rFonts w:ascii="Palatino Linotype" w:hAnsi="Palatino Linotype"/>
        </w:rPr>
        <w:t xml:space="preserve">pplies to all parameter updates. </w:t>
      </w:r>
    </w:p>
    <w:p w14:paraId="4E143A50" w14:textId="77777777" w:rsidR="007300D4" w:rsidRDefault="007300D4" w:rsidP="007300D4">
      <w:pPr>
        <w:pStyle w:val="Caption"/>
        <w:keepNext/>
        <w:keepLines/>
        <w:jc w:val="center"/>
        <w:rPr>
          <w:rFonts w:ascii="Palatino Linotype" w:hAnsi="Palatino Linotype"/>
        </w:rPr>
      </w:pPr>
      <w:r>
        <w:lastRenderedPageBreak/>
        <w:t xml:space="preserve">Figure </w:t>
      </w:r>
      <w:fldSimple w:instr=" SEQ Figure \* ARABIC ">
        <w:r>
          <w:rPr>
            <w:noProof/>
          </w:rPr>
          <w:t>2</w:t>
        </w:r>
      </w:fldSimple>
      <w:r>
        <w:t>: Evaluation Framework Decision Tree</w:t>
      </w:r>
    </w:p>
    <w:p w14:paraId="790DF350" w14:textId="05BAF8AF" w:rsidR="007300D4" w:rsidRPr="00181EF9" w:rsidRDefault="009819D4" w:rsidP="007300D4">
      <w:pPr>
        <w:keepNext/>
        <w:keepLines/>
        <w:rPr>
          <w:rFonts w:ascii="Palatino Linotype" w:hAnsi="Palatino Linotype"/>
          <w:b/>
        </w:rPr>
      </w:pPr>
      <w:r>
        <w:object w:dxaOrig="13486" w:dyaOrig="11326" w14:anchorId="446F87D6">
          <v:shape id="_x0000_i1028" type="#_x0000_t75" style="width:468pt;height:394.35pt" o:ole="">
            <v:imagedata r:id="rId10" o:title=""/>
          </v:shape>
          <o:OLEObject Type="Embed" ProgID="Visio.Drawing.15" ShapeID="_x0000_i1028" DrawAspect="Content" ObjectID="_1508141933" r:id="rId33"/>
        </w:object>
      </w:r>
    </w:p>
    <w:p w14:paraId="273C459E" w14:textId="77777777" w:rsidR="007300D4" w:rsidRPr="00503376" w:rsidRDefault="007300D4" w:rsidP="007300D4">
      <w:pPr>
        <w:rPr>
          <w:rFonts w:ascii="Palatino Linotype" w:hAnsi="Palatino Linotype"/>
        </w:rPr>
      </w:pPr>
    </w:p>
    <w:p w14:paraId="4E47741F" w14:textId="77C53B53" w:rsidR="007300D4" w:rsidRDefault="009819D4" w:rsidP="005F4687">
      <w:pPr>
        <w:jc w:val="both"/>
        <w:rPr>
          <w:rFonts w:ascii="Palatino Linotype" w:hAnsi="Palatino Linotype"/>
        </w:rPr>
      </w:pPr>
      <w:r>
        <w:rPr>
          <w:rFonts w:ascii="Palatino Linotype" w:hAnsi="Palatino Linotype"/>
        </w:rPr>
        <w:t xml:space="preserve">ESPI 2013 evaluation results were submitted by the </w:t>
      </w:r>
      <w:r w:rsidR="00D76679">
        <w:rPr>
          <w:rFonts w:ascii="Palatino Linotype" w:hAnsi="Palatino Linotype"/>
        </w:rPr>
        <w:t xml:space="preserve">evaluation teams </w:t>
      </w:r>
      <w:r>
        <w:rPr>
          <w:rFonts w:ascii="Palatino Linotype" w:hAnsi="Palatino Linotype"/>
        </w:rPr>
        <w:t>in the form of memos.</w:t>
      </w:r>
      <w:r w:rsidR="00D76679">
        <w:rPr>
          <w:rFonts w:ascii="Palatino Linotype" w:hAnsi="Palatino Linotype"/>
        </w:rPr>
        <w:t xml:space="preserve"> </w:t>
      </w:r>
      <w:r>
        <w:rPr>
          <w:rFonts w:ascii="Palatino Linotype" w:hAnsi="Palatino Linotype"/>
        </w:rPr>
        <w:t xml:space="preserve"> Each </w:t>
      </w:r>
      <w:r w:rsidR="00D76679">
        <w:rPr>
          <w:rFonts w:ascii="Palatino Linotype" w:hAnsi="Palatino Linotype"/>
        </w:rPr>
        <w:t>ESPI</w:t>
      </w:r>
      <w:r>
        <w:rPr>
          <w:rFonts w:ascii="Palatino Linotype" w:hAnsi="Palatino Linotype"/>
        </w:rPr>
        <w:t xml:space="preserve"> memo was reviewed and vetted via the public review process, and the final numbers were provided to the data reporting team. Evaluation results were downloaded and processed into the SQL Server database on the Energy Division Central Server (EDCS), an internal server (not publicly available) used to manage the data in a secure environment.</w:t>
      </w:r>
      <w:r w:rsidR="00D76679">
        <w:rPr>
          <w:rFonts w:ascii="Palatino Linotype" w:hAnsi="Palatino Linotype"/>
        </w:rPr>
        <w:t xml:space="preserve"> </w:t>
      </w:r>
      <w:r>
        <w:rPr>
          <w:rFonts w:ascii="Palatino Linotype" w:hAnsi="Palatino Linotype"/>
        </w:rPr>
        <w:t xml:space="preserve"> </w:t>
      </w:r>
      <w:r w:rsidRPr="00503376">
        <w:rPr>
          <w:rFonts w:ascii="Palatino Linotype" w:hAnsi="Palatino Linotype"/>
        </w:rPr>
        <w:t xml:space="preserve">Evaluation results are reported in two phases: the first phase is to deliver the data required to apply evaluation results to the final </w:t>
      </w:r>
      <w:r>
        <w:rPr>
          <w:rFonts w:ascii="Palatino Linotype" w:hAnsi="Palatino Linotype"/>
        </w:rPr>
        <w:t xml:space="preserve">ESPI 2013 </w:t>
      </w:r>
      <w:r w:rsidRPr="00503376">
        <w:rPr>
          <w:rFonts w:ascii="Palatino Linotype" w:hAnsi="Palatino Linotype"/>
        </w:rPr>
        <w:t xml:space="preserve">claim. In the second phase the evaluation contractors provided the </w:t>
      </w:r>
      <w:r w:rsidRPr="00503376">
        <w:rPr>
          <w:rFonts w:ascii="Palatino Linotype" w:hAnsi="Palatino Linotype"/>
        </w:rPr>
        <w:lastRenderedPageBreak/>
        <w:t>logic</w:t>
      </w:r>
      <w:r>
        <w:rPr>
          <w:rFonts w:ascii="Palatino Linotype" w:hAnsi="Palatino Linotype"/>
        </w:rPr>
        <w:t xml:space="preserve"> which</w:t>
      </w:r>
      <w:r w:rsidRPr="00503376">
        <w:rPr>
          <w:rFonts w:ascii="Palatino Linotype" w:hAnsi="Palatino Linotype"/>
        </w:rPr>
        <w:t xml:space="preserve"> assign</w:t>
      </w:r>
      <w:r>
        <w:rPr>
          <w:rFonts w:ascii="Palatino Linotype" w:hAnsi="Palatino Linotype"/>
        </w:rPr>
        <w:t>s</w:t>
      </w:r>
      <w:r w:rsidRPr="00503376">
        <w:rPr>
          <w:rFonts w:ascii="Palatino Linotype" w:hAnsi="Palatino Linotype"/>
        </w:rPr>
        <w:t xml:space="preserve"> ESPI 2013 claims into strata. A visual of this process is provided in the following figure.</w:t>
      </w:r>
    </w:p>
    <w:p w14:paraId="263EAC2B" w14:textId="77777777" w:rsidR="007300D4" w:rsidRDefault="007300D4" w:rsidP="007300D4">
      <w:pPr>
        <w:pStyle w:val="Caption"/>
        <w:jc w:val="center"/>
        <w:rPr>
          <w:rFonts w:ascii="Palatino Linotype" w:hAnsi="Palatino Linotype"/>
        </w:rPr>
      </w:pPr>
      <w:r>
        <w:t xml:space="preserve">Figure </w:t>
      </w:r>
      <w:fldSimple w:instr=" SEQ Figure \* ARABIC ">
        <w:r>
          <w:rPr>
            <w:noProof/>
          </w:rPr>
          <w:t>3</w:t>
        </w:r>
      </w:fldSimple>
      <w:r>
        <w:t>: Reporting of Evaluation Results: Phase 1 and Phase 2</w:t>
      </w:r>
    </w:p>
    <w:p w14:paraId="4D5FBE78" w14:textId="77777777" w:rsidR="007300D4" w:rsidRDefault="007300D4" w:rsidP="007300D4">
      <w:pPr>
        <w:spacing w:after="0"/>
        <w:rPr>
          <w:rFonts w:ascii="Palatino Linotype" w:hAnsi="Palatino Linotype"/>
        </w:rPr>
      </w:pPr>
      <w:r w:rsidRPr="00534D3C">
        <w:rPr>
          <w:rFonts w:ascii="Palatino Linotype" w:hAnsi="Palatino Linotype"/>
          <w:noProof/>
        </w:rPr>
        <w:drawing>
          <wp:inline distT="0" distB="0" distL="0" distR="0" wp14:anchorId="47EC2A34" wp14:editId="4A1BDEF0">
            <wp:extent cx="5933440" cy="3444240"/>
            <wp:effectExtent l="25400" t="0" r="10160" b="0"/>
            <wp:docPr id="1" name="Picture 2" descr="::::Desktop:Screen Shot 2015-05-22 at 1.5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5-05-22 at 1.56.22 PM.png"/>
                    <pic:cNvPicPr>
                      <a:picLocks noChangeAspect="1" noChangeArrowheads="1"/>
                    </pic:cNvPicPr>
                  </pic:nvPicPr>
                  <pic:blipFill>
                    <a:blip r:embed="rId34"/>
                    <a:srcRect/>
                    <a:stretch>
                      <a:fillRect/>
                    </a:stretch>
                  </pic:blipFill>
                  <pic:spPr bwMode="auto">
                    <a:xfrm>
                      <a:off x="0" y="0"/>
                      <a:ext cx="5933440" cy="3444240"/>
                    </a:xfrm>
                    <a:prstGeom prst="rect">
                      <a:avLst/>
                    </a:prstGeom>
                    <a:noFill/>
                    <a:ln w="9525">
                      <a:noFill/>
                      <a:miter lim="800000"/>
                      <a:headEnd/>
                      <a:tailEnd/>
                    </a:ln>
                  </pic:spPr>
                </pic:pic>
              </a:graphicData>
            </a:graphic>
          </wp:inline>
        </w:drawing>
      </w:r>
    </w:p>
    <w:p w14:paraId="6D1ADB0E" w14:textId="77777777" w:rsidR="007300D4" w:rsidRDefault="007300D4" w:rsidP="007300D4">
      <w:pPr>
        <w:spacing w:after="0"/>
        <w:rPr>
          <w:rFonts w:ascii="Palatino Linotype" w:hAnsi="Palatino Linotype"/>
        </w:rPr>
      </w:pPr>
    </w:p>
    <w:p w14:paraId="73248B9F" w14:textId="004ABDC0" w:rsidR="007300D4" w:rsidRDefault="007300D4" w:rsidP="007300D4">
      <w:pPr>
        <w:spacing w:after="0"/>
        <w:rPr>
          <w:rFonts w:ascii="Palatino Linotype" w:hAnsi="Palatino Linotype"/>
        </w:rPr>
      </w:pPr>
      <w:r w:rsidRPr="009E1D4E">
        <w:rPr>
          <w:rFonts w:ascii="Palatino Linotype" w:hAnsi="Palatino Linotype"/>
        </w:rPr>
        <w:t>Following phases one and two is the third and final phase of evaluation data reporting. Phase three covers submission of all ra</w:t>
      </w:r>
      <w:r w:rsidR="00D76679">
        <w:rPr>
          <w:rFonts w:ascii="Palatino Linotype" w:hAnsi="Palatino Linotype"/>
        </w:rPr>
        <w:t>w and processed evaluation data</w:t>
      </w:r>
      <w:r w:rsidRPr="009E1D4E">
        <w:rPr>
          <w:rFonts w:ascii="Palatino Linotype" w:hAnsi="Palatino Linotype"/>
        </w:rPr>
        <w:t>.</w:t>
      </w:r>
    </w:p>
    <w:p w14:paraId="5C0D525D" w14:textId="77777777" w:rsidR="007300D4" w:rsidRDefault="007300D4" w:rsidP="007300D4">
      <w:pPr>
        <w:spacing w:after="0"/>
        <w:rPr>
          <w:rFonts w:ascii="Palatino Linotype" w:hAnsi="Palatino Linotype"/>
        </w:rPr>
      </w:pPr>
    </w:p>
    <w:p w14:paraId="3CEFE7CA" w14:textId="77777777" w:rsidR="007300D4" w:rsidRPr="009B6422" w:rsidRDefault="007300D4" w:rsidP="007300D4">
      <w:pPr>
        <w:spacing w:after="0"/>
        <w:rPr>
          <w:rFonts w:ascii="Palatino Linotype" w:hAnsi="Palatino Linotype"/>
          <w:b/>
        </w:rPr>
      </w:pPr>
      <w:r w:rsidRPr="009B6422">
        <w:rPr>
          <w:rFonts w:ascii="Palatino Linotype" w:hAnsi="Palatino Linotype"/>
          <w:b/>
        </w:rPr>
        <w:t>Phase 1 Data Specification</w:t>
      </w:r>
    </w:p>
    <w:p w14:paraId="5A9C141C" w14:textId="77777777" w:rsidR="007300D4" w:rsidRDefault="007300D4" w:rsidP="007300D4">
      <w:pPr>
        <w:spacing w:after="0"/>
        <w:rPr>
          <w:rFonts w:ascii="Palatino Linotype" w:hAnsi="Palatino Linotype"/>
        </w:rPr>
      </w:pPr>
    </w:p>
    <w:p w14:paraId="30BC6D4F" w14:textId="77777777" w:rsidR="007300D4" w:rsidRDefault="007300D4" w:rsidP="009819D4">
      <w:pPr>
        <w:spacing w:after="0"/>
        <w:jc w:val="both"/>
        <w:rPr>
          <w:rFonts w:ascii="Palatino Linotype" w:hAnsi="Palatino Linotype"/>
        </w:rPr>
      </w:pPr>
      <w:r w:rsidRPr="009B6422">
        <w:rPr>
          <w:rFonts w:ascii="Palatino Linotype" w:hAnsi="Palatino Linotype"/>
        </w:rPr>
        <w:t>The data specification for evaluation results submitted by evaluation contractors consists of two primary components: record assignments to strata (the blue table in the middle of the following figure), and evaluation parameter results by strata (the five other black tables of the following figure). The two components are linked to assign evaluation parameter results to claim records in a transparent relationship. The connection and resulting data is designed to be consistent with the field evaluation sample structure.</w:t>
      </w:r>
    </w:p>
    <w:p w14:paraId="47BA4232" w14:textId="77777777" w:rsidR="007300D4" w:rsidRDefault="007300D4" w:rsidP="007300D4">
      <w:pPr>
        <w:spacing w:after="0"/>
        <w:rPr>
          <w:rFonts w:ascii="Palatino Linotype" w:hAnsi="Palatino Linotype"/>
        </w:rPr>
      </w:pPr>
    </w:p>
    <w:p w14:paraId="4F8A517A" w14:textId="77777777" w:rsidR="007300D4" w:rsidRPr="009B6422" w:rsidRDefault="007300D4" w:rsidP="00D27DF5">
      <w:pPr>
        <w:keepNext/>
        <w:spacing w:after="0"/>
        <w:rPr>
          <w:rFonts w:ascii="Palatino Linotype" w:hAnsi="Palatino Linotype"/>
          <w:b/>
        </w:rPr>
      </w:pPr>
      <w:r w:rsidRPr="009B6422">
        <w:rPr>
          <w:rFonts w:ascii="Palatino Linotype" w:hAnsi="Palatino Linotype"/>
          <w:b/>
        </w:rPr>
        <w:lastRenderedPageBreak/>
        <w:t>Phase 1 Data Elements</w:t>
      </w:r>
    </w:p>
    <w:p w14:paraId="0864A2F2" w14:textId="77777777" w:rsidR="007300D4" w:rsidRDefault="007300D4" w:rsidP="00D27DF5">
      <w:pPr>
        <w:keepNext/>
        <w:spacing w:after="0"/>
        <w:rPr>
          <w:rFonts w:ascii="Palatino Linotype" w:hAnsi="Palatino Linotype"/>
        </w:rPr>
      </w:pPr>
    </w:p>
    <w:p w14:paraId="17CBC76D" w14:textId="5E75238C" w:rsidR="007300D4" w:rsidRPr="0019176E" w:rsidRDefault="007300D4" w:rsidP="00D27DF5">
      <w:pPr>
        <w:pStyle w:val="ListParagraph"/>
        <w:keepNext/>
        <w:numPr>
          <w:ilvl w:val="0"/>
          <w:numId w:val="8"/>
        </w:numPr>
        <w:spacing w:after="0"/>
        <w:rPr>
          <w:rFonts w:ascii="Palatino Linotype" w:hAnsi="Palatino Linotype"/>
        </w:rPr>
      </w:pPr>
      <w:r w:rsidRPr="0019176E">
        <w:rPr>
          <w:rFonts w:ascii="Palatino Linotype" w:hAnsi="Palatino Linotype"/>
        </w:rPr>
        <w:t>Parameter by Strata (PbS) - evaluation parameter results for each strata</w:t>
      </w:r>
    </w:p>
    <w:p w14:paraId="6179C4EE" w14:textId="7BED39A7" w:rsidR="007300D4" w:rsidRPr="005F4687" w:rsidRDefault="007300D4" w:rsidP="005F4687">
      <w:pPr>
        <w:pStyle w:val="ListParagraph"/>
        <w:numPr>
          <w:ilvl w:val="0"/>
          <w:numId w:val="8"/>
        </w:numPr>
        <w:spacing w:after="0"/>
        <w:rPr>
          <w:rFonts w:ascii="Palatino Linotype" w:hAnsi="Palatino Linotype"/>
        </w:rPr>
      </w:pPr>
      <w:r w:rsidRPr="005F4687">
        <w:rPr>
          <w:rFonts w:ascii="Palatino Linotype" w:hAnsi="Palatino Linotype"/>
        </w:rPr>
        <w:t>Strata by ClaimID (SbC) - assignment of claim lines to strata. These two data elements are brought together to assign evaluation results to the claim data.</w:t>
      </w:r>
    </w:p>
    <w:p w14:paraId="1784C797" w14:textId="77777777" w:rsidR="007300D4" w:rsidRDefault="007300D4" w:rsidP="007300D4">
      <w:pPr>
        <w:spacing w:after="0"/>
        <w:rPr>
          <w:rFonts w:ascii="Palatino Linotype" w:hAnsi="Palatino Linotype"/>
        </w:rPr>
      </w:pPr>
    </w:p>
    <w:p w14:paraId="6A215FD5" w14:textId="77777777" w:rsidR="007300D4" w:rsidRDefault="007300D4" w:rsidP="007300D4">
      <w:pPr>
        <w:spacing w:after="0"/>
        <w:rPr>
          <w:rFonts w:ascii="Palatino Linotype" w:hAnsi="Palatino Linotype"/>
        </w:rPr>
      </w:pPr>
    </w:p>
    <w:p w14:paraId="1D667135" w14:textId="77777777" w:rsidR="007300D4" w:rsidRDefault="007300D4" w:rsidP="007300D4">
      <w:pPr>
        <w:pStyle w:val="Caption"/>
        <w:jc w:val="center"/>
        <w:rPr>
          <w:rFonts w:ascii="Palatino Linotype" w:hAnsi="Palatino Linotype"/>
        </w:rPr>
      </w:pPr>
      <w:r>
        <w:t xml:space="preserve">Figure </w:t>
      </w:r>
      <w:fldSimple w:instr=" SEQ Figure \* ARABIC ">
        <w:r>
          <w:rPr>
            <w:noProof/>
          </w:rPr>
          <w:t>5</w:t>
        </w:r>
      </w:fldSimple>
      <w:r>
        <w:t>: Evaluation Phase 1 Data Specification</w:t>
      </w:r>
    </w:p>
    <w:p w14:paraId="7E11B745" w14:textId="1C4DD288" w:rsidR="007300D4" w:rsidRDefault="009819D4" w:rsidP="007300D4">
      <w:pPr>
        <w:spacing w:after="0"/>
        <w:rPr>
          <w:rFonts w:ascii="Palatino Linotype" w:hAnsi="Palatino Linotype"/>
        </w:rPr>
      </w:pPr>
      <w:r>
        <w:rPr>
          <w:rFonts w:ascii="Palatino Linotype" w:hAnsi="Palatino Linotype"/>
          <w:noProof/>
        </w:rPr>
        <w:drawing>
          <wp:inline distT="0" distB="0" distL="0" distR="0" wp14:anchorId="70927462" wp14:editId="3D87D0A8">
            <wp:extent cx="5930900" cy="4749800"/>
            <wp:effectExtent l="25400" t="0" r="0" b="0"/>
            <wp:docPr id="11" name="Picture 11" descr="::::Downloads:eval_table_joi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eval_table_joins-1.png"/>
                    <pic:cNvPicPr>
                      <a:picLocks noChangeAspect="1" noChangeArrowheads="1"/>
                    </pic:cNvPicPr>
                  </pic:nvPicPr>
                  <pic:blipFill>
                    <a:blip r:embed="rId35"/>
                    <a:srcRect/>
                    <a:stretch>
                      <a:fillRect/>
                    </a:stretch>
                  </pic:blipFill>
                  <pic:spPr bwMode="auto">
                    <a:xfrm>
                      <a:off x="0" y="0"/>
                      <a:ext cx="5930900" cy="4749800"/>
                    </a:xfrm>
                    <a:prstGeom prst="rect">
                      <a:avLst/>
                    </a:prstGeom>
                    <a:noFill/>
                    <a:ln w="9525">
                      <a:noFill/>
                      <a:miter lim="800000"/>
                      <a:headEnd/>
                      <a:tailEnd/>
                    </a:ln>
                  </pic:spPr>
                </pic:pic>
              </a:graphicData>
            </a:graphic>
          </wp:inline>
        </w:drawing>
      </w:r>
    </w:p>
    <w:sectPr w:rsidR="007300D4" w:rsidSect="00F6438F">
      <w:footerReference w:type="default" r:id="rId36"/>
      <w:headerReference w:type="first" r:id="rId37"/>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9450DD" w15:done="0"/>
  <w15:commentEx w15:paraId="2B4FB651" w15:done="0"/>
  <w15:commentEx w15:paraId="39BF5DC9" w15:done="0"/>
  <w15:commentEx w15:paraId="538D45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A8B0E2" w14:textId="77777777" w:rsidR="00180DD3" w:rsidRDefault="00180DD3" w:rsidP="00181EF9">
      <w:pPr>
        <w:spacing w:after="0" w:line="240" w:lineRule="auto"/>
      </w:pPr>
      <w:r>
        <w:separator/>
      </w:r>
    </w:p>
  </w:endnote>
  <w:endnote w:type="continuationSeparator" w:id="0">
    <w:p w14:paraId="0E1803DF" w14:textId="77777777" w:rsidR="00180DD3" w:rsidRDefault="00180DD3" w:rsidP="00181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A9269" w14:textId="77777777" w:rsidR="00B94552" w:rsidRDefault="00B94552">
    <w:pPr>
      <w:pStyle w:val="Footer"/>
      <w:jc w:val="center"/>
    </w:pPr>
  </w:p>
  <w:p w14:paraId="78EFACCB" w14:textId="77777777" w:rsidR="00B94552" w:rsidRPr="0019619B" w:rsidRDefault="00B94552">
    <w:pPr>
      <w:pStyle w:val="Footer"/>
      <w:jc w:val="center"/>
      <w:rPr>
        <w:rFonts w:ascii="Palatino Linotype" w:hAnsi="Palatino Linotype"/>
      </w:rPr>
    </w:pPr>
    <w:r w:rsidRPr="0019619B">
      <w:rPr>
        <w:rFonts w:ascii="Palatino Linotype" w:hAnsi="Palatino Linotype"/>
      </w:rPr>
      <w:t xml:space="preserve">Page </w:t>
    </w:r>
    <w:r w:rsidRPr="0019619B">
      <w:rPr>
        <w:rFonts w:ascii="Palatino Linotype" w:hAnsi="Palatino Linotype"/>
        <w:b/>
        <w:bCs/>
        <w:sz w:val="24"/>
        <w:szCs w:val="24"/>
      </w:rPr>
      <w:fldChar w:fldCharType="begin"/>
    </w:r>
    <w:r w:rsidRPr="0019619B">
      <w:rPr>
        <w:rFonts w:ascii="Palatino Linotype" w:hAnsi="Palatino Linotype"/>
        <w:b/>
        <w:bCs/>
      </w:rPr>
      <w:instrText xml:space="preserve"> PAGE </w:instrText>
    </w:r>
    <w:r w:rsidRPr="0019619B">
      <w:rPr>
        <w:rFonts w:ascii="Palatino Linotype" w:hAnsi="Palatino Linotype"/>
        <w:b/>
        <w:bCs/>
        <w:sz w:val="24"/>
        <w:szCs w:val="24"/>
      </w:rPr>
      <w:fldChar w:fldCharType="separate"/>
    </w:r>
    <w:r w:rsidR="007823F5">
      <w:rPr>
        <w:rFonts w:ascii="Palatino Linotype" w:hAnsi="Palatino Linotype"/>
        <w:b/>
        <w:bCs/>
        <w:noProof/>
      </w:rPr>
      <w:t>2</w:t>
    </w:r>
    <w:r w:rsidRPr="0019619B">
      <w:rPr>
        <w:rFonts w:ascii="Palatino Linotype" w:hAnsi="Palatino Linotype"/>
        <w:b/>
        <w:bCs/>
        <w:sz w:val="24"/>
        <w:szCs w:val="24"/>
      </w:rPr>
      <w:fldChar w:fldCharType="end"/>
    </w:r>
    <w:r w:rsidRPr="0019619B">
      <w:rPr>
        <w:rFonts w:ascii="Palatino Linotype" w:hAnsi="Palatino Linotype"/>
      </w:rPr>
      <w:t xml:space="preserve"> of </w:t>
    </w:r>
    <w:r w:rsidRPr="0019619B">
      <w:rPr>
        <w:rFonts w:ascii="Palatino Linotype" w:hAnsi="Palatino Linotype"/>
        <w:b/>
        <w:bCs/>
        <w:sz w:val="24"/>
        <w:szCs w:val="24"/>
      </w:rPr>
      <w:fldChar w:fldCharType="begin"/>
    </w:r>
    <w:r w:rsidRPr="0019619B">
      <w:rPr>
        <w:rFonts w:ascii="Palatino Linotype" w:hAnsi="Palatino Linotype"/>
        <w:b/>
        <w:bCs/>
      </w:rPr>
      <w:instrText xml:space="preserve"> NUMPAGES  </w:instrText>
    </w:r>
    <w:r w:rsidRPr="0019619B">
      <w:rPr>
        <w:rFonts w:ascii="Palatino Linotype" w:hAnsi="Palatino Linotype"/>
        <w:b/>
        <w:bCs/>
        <w:sz w:val="24"/>
        <w:szCs w:val="24"/>
      </w:rPr>
      <w:fldChar w:fldCharType="separate"/>
    </w:r>
    <w:r w:rsidR="007823F5">
      <w:rPr>
        <w:rFonts w:ascii="Palatino Linotype" w:hAnsi="Palatino Linotype"/>
        <w:b/>
        <w:bCs/>
        <w:noProof/>
      </w:rPr>
      <w:t>27</w:t>
    </w:r>
    <w:r w:rsidRPr="0019619B">
      <w:rPr>
        <w:rFonts w:ascii="Palatino Linotype" w:hAnsi="Palatino Linotype"/>
        <w:b/>
        <w:bCs/>
        <w:sz w:val="24"/>
        <w:szCs w:val="24"/>
      </w:rPr>
      <w:fldChar w:fldCharType="end"/>
    </w:r>
  </w:p>
  <w:p w14:paraId="1DC4E21B" w14:textId="77777777" w:rsidR="00B94552" w:rsidRDefault="00B94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F46C6" w14:textId="77777777" w:rsidR="00180DD3" w:rsidRDefault="00180DD3" w:rsidP="00181EF9">
      <w:pPr>
        <w:spacing w:after="0" w:line="240" w:lineRule="auto"/>
      </w:pPr>
      <w:r>
        <w:separator/>
      </w:r>
    </w:p>
  </w:footnote>
  <w:footnote w:type="continuationSeparator" w:id="0">
    <w:p w14:paraId="15B994D1" w14:textId="77777777" w:rsidR="00180DD3" w:rsidRDefault="00180DD3" w:rsidP="00181EF9">
      <w:pPr>
        <w:spacing w:after="0" w:line="240" w:lineRule="auto"/>
      </w:pPr>
      <w:r>
        <w:continuationSeparator/>
      </w:r>
    </w:p>
  </w:footnote>
  <w:footnote w:id="1">
    <w:p w14:paraId="485A62B1" w14:textId="5AAF6B51" w:rsidR="00B94552" w:rsidRPr="00181EF9" w:rsidRDefault="00B94552">
      <w:pPr>
        <w:pStyle w:val="FootnoteText"/>
        <w:rPr>
          <w:rFonts w:ascii="Palatino Linotype" w:hAnsi="Palatino Linotype"/>
        </w:rPr>
      </w:pPr>
      <w:r w:rsidRPr="00181EF9">
        <w:rPr>
          <w:rStyle w:val="FootnoteReference"/>
          <w:rFonts w:ascii="Palatino Linotype" w:hAnsi="Palatino Linotype"/>
        </w:rPr>
        <w:footnoteRef/>
      </w:r>
      <w:r w:rsidRPr="00181EF9">
        <w:rPr>
          <w:rFonts w:ascii="Palatino Linotype" w:hAnsi="Palatino Linotype"/>
        </w:rPr>
        <w:t xml:space="preserve"> All comments are located here:  </w:t>
      </w:r>
      <w:hyperlink r:id="rId1" w:history="1">
        <w:r w:rsidRPr="006337EC">
          <w:rPr>
            <w:rStyle w:val="Hyperlink"/>
            <w:rFonts w:ascii="Palatino Linotype" w:hAnsi="Palatino Linotype"/>
          </w:rPr>
          <w:t>http://www.energydataweb.com/cpuc/comment.aspx?did=1253</w:t>
        </w:r>
      </w:hyperlink>
    </w:p>
  </w:footnote>
  <w:footnote w:id="2">
    <w:p w14:paraId="65932281" w14:textId="77777777" w:rsidR="00B94552" w:rsidRPr="00181EF9" w:rsidRDefault="00B94552">
      <w:pPr>
        <w:pStyle w:val="FootnoteText"/>
        <w:rPr>
          <w:rFonts w:ascii="Palatino Linotype" w:hAnsi="Palatino Linotype"/>
        </w:rPr>
      </w:pPr>
      <w:r w:rsidRPr="00181EF9">
        <w:rPr>
          <w:rStyle w:val="FootnoteReference"/>
          <w:rFonts w:ascii="Palatino Linotype" w:hAnsi="Palatino Linotype"/>
        </w:rPr>
        <w:footnoteRef/>
      </w:r>
      <w:r w:rsidRPr="00181EF9">
        <w:rPr>
          <w:rFonts w:ascii="Palatino Linotype" w:hAnsi="Palatino Linotype"/>
        </w:rPr>
        <w:t xml:space="preserve"> </w:t>
      </w:r>
      <w:hyperlink r:id="rId2" w:history="1">
        <w:r w:rsidRPr="00181EF9">
          <w:rPr>
            <w:rStyle w:val="Hyperlink"/>
            <w:rFonts w:ascii="Palatino Linotype" w:hAnsi="Palatino Linotype"/>
          </w:rPr>
          <w:t>http://www.cpuc.ca.gov/PUC/energy/Energy+Efficiency/Shareholder+Incentive+Mechanism.htm</w:t>
        </w:r>
      </w:hyperlink>
    </w:p>
    <w:p w14:paraId="589F99A3" w14:textId="77777777" w:rsidR="00B94552" w:rsidRDefault="00B94552">
      <w:pPr>
        <w:pStyle w:val="FootnoteText"/>
      </w:pPr>
    </w:p>
  </w:footnote>
  <w:footnote w:id="3">
    <w:p w14:paraId="325F2933" w14:textId="3C1DF125" w:rsidR="00C01746" w:rsidRDefault="00C01746">
      <w:pPr>
        <w:pStyle w:val="FootnoteText"/>
      </w:pPr>
      <w:r>
        <w:rPr>
          <w:rStyle w:val="FootnoteReference"/>
        </w:rPr>
        <w:footnoteRef/>
      </w:r>
      <w:r>
        <w:t xml:space="preserve"> </w:t>
      </w:r>
      <w:r w:rsidRPr="00C01746">
        <w:rPr>
          <w:rFonts w:ascii="Palatino Linotype" w:hAnsi="Palatino Linotype"/>
        </w:rPr>
        <w:t>Commission staff and its evaluation consultants are performing a reconciliation to ensure the ex-ante payment categorizations and ex-post payment categorizations are aligned.</w:t>
      </w:r>
    </w:p>
  </w:footnote>
  <w:footnote w:id="4">
    <w:p w14:paraId="7982B46C" w14:textId="29FD5BB5" w:rsidR="00296840" w:rsidRPr="00296840" w:rsidRDefault="00296840">
      <w:pPr>
        <w:pStyle w:val="FootnoteText"/>
        <w:rPr>
          <w:rFonts w:ascii="Palatino Linotype" w:hAnsi="Palatino Linotype"/>
        </w:rPr>
      </w:pPr>
      <w:r w:rsidRPr="00296840">
        <w:rPr>
          <w:rStyle w:val="FootnoteReference"/>
          <w:rFonts w:ascii="Palatino Linotype" w:hAnsi="Palatino Linotype"/>
        </w:rPr>
        <w:footnoteRef/>
      </w:r>
      <w:r w:rsidRPr="00296840">
        <w:rPr>
          <w:rFonts w:ascii="Palatino Linotype" w:hAnsi="Palatino Linotype"/>
        </w:rPr>
        <w:t xml:space="preserve"> The lifecycle </w:t>
      </w:r>
      <w:proofErr w:type="spellStart"/>
      <w:r w:rsidRPr="00296840">
        <w:rPr>
          <w:rFonts w:ascii="Palatino Linotype" w:hAnsi="Palatino Linotype"/>
        </w:rPr>
        <w:t>therm</w:t>
      </w:r>
      <w:proofErr w:type="spellEnd"/>
      <w:r w:rsidRPr="00296840">
        <w:rPr>
          <w:rFonts w:ascii="Palatino Linotype" w:hAnsi="Palatino Linotype"/>
        </w:rPr>
        <w:t xml:space="preserve"> savings for deemed measures graph is not included in this report, intentionally, due to difficulties graphically displaying the negative therm values.</w:t>
      </w:r>
    </w:p>
  </w:footnote>
  <w:footnote w:id="5">
    <w:p w14:paraId="48F315AE" w14:textId="77777777" w:rsidR="00B94552" w:rsidRDefault="00B94552" w:rsidP="000D0765">
      <w:pPr>
        <w:pStyle w:val="FootnoteText"/>
      </w:pPr>
      <w:r>
        <w:rPr>
          <w:rStyle w:val="FootnoteReference"/>
        </w:rPr>
        <w:footnoteRef/>
      </w:r>
      <w:r>
        <w:t xml:space="preserve"> </w:t>
      </w:r>
      <w:r>
        <w:tab/>
        <w:t xml:space="preserve">Note that the ExPost values for ESPI Deemed ExAnte Review and Codes &amp; Standards records are only pass through values at this time. </w:t>
      </w:r>
    </w:p>
  </w:footnote>
  <w:footnote w:id="6">
    <w:p w14:paraId="568AA9D9" w14:textId="77777777" w:rsidR="00B94552" w:rsidRPr="00181EF9" w:rsidRDefault="00B94552" w:rsidP="007300D4">
      <w:pPr>
        <w:pStyle w:val="FootnoteText"/>
        <w:rPr>
          <w:rFonts w:ascii="Palatino Linotype" w:hAnsi="Palatino Linotype"/>
        </w:rPr>
      </w:pPr>
      <w:r w:rsidRPr="00181EF9">
        <w:rPr>
          <w:rStyle w:val="FootnoteReference"/>
          <w:rFonts w:ascii="Palatino Linotype" w:hAnsi="Palatino Linotype"/>
        </w:rPr>
        <w:footnoteRef/>
      </w:r>
      <w:r w:rsidRPr="00181EF9">
        <w:rPr>
          <w:rFonts w:ascii="Palatino Linotype" w:hAnsi="Palatino Linotype"/>
        </w:rPr>
        <w:t xml:space="preserve"> </w:t>
      </w:r>
      <w:hyperlink r:id="rId3" w:history="1">
        <w:r w:rsidRPr="00181EF9">
          <w:rPr>
            <w:rStyle w:val="Hyperlink"/>
            <w:rFonts w:ascii="Palatino Linotype" w:hAnsi="Palatino Linotype"/>
          </w:rPr>
          <w:t>http://www.cpuc.ca.gov/PUC/energy/Energy+Efficiency/Shareholder+Incentive+Mechanism.htm</w:t>
        </w:r>
      </w:hyperlink>
    </w:p>
    <w:p w14:paraId="20A2C52C" w14:textId="77777777" w:rsidR="00B94552" w:rsidRDefault="00B94552" w:rsidP="007300D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50640" w14:textId="77777777" w:rsidR="00BF7862" w:rsidRPr="00BF7862" w:rsidRDefault="00BF7862" w:rsidP="00BF7862">
    <w:pPr>
      <w:pBdr>
        <w:bottom w:val="double" w:sz="6" w:space="1" w:color="auto"/>
      </w:pBdr>
      <w:tabs>
        <w:tab w:val="right" w:pos="11070"/>
      </w:tabs>
      <w:spacing w:after="0" w:line="240" w:lineRule="auto"/>
      <w:rPr>
        <w:rFonts w:ascii="Arial" w:eastAsia="Times New Roman" w:hAnsi="Arial"/>
        <w:i/>
        <w:sz w:val="24"/>
        <w:szCs w:val="24"/>
      </w:rPr>
    </w:pPr>
    <w:r w:rsidRPr="00BF7862">
      <w:rPr>
        <w:rFonts w:ascii="Arial" w:eastAsia="Times New Roman" w:hAnsi="Arial"/>
        <w:sz w:val="16"/>
        <w:szCs w:val="24"/>
      </w:rPr>
      <w:t>STATE OF CALIFORNIA                                                                                                           EDMUND G. BROWN JR.,</w:t>
    </w:r>
    <w:r w:rsidRPr="00BF7862">
      <w:rPr>
        <w:rFonts w:ascii="Arial" w:eastAsia="Times New Roman" w:hAnsi="Arial"/>
        <w:sz w:val="24"/>
        <w:szCs w:val="24"/>
      </w:rPr>
      <w:t xml:space="preserve"> </w:t>
    </w:r>
    <w:r w:rsidRPr="00BF7862">
      <w:rPr>
        <w:rFonts w:ascii="Arial" w:eastAsia="Times New Roman" w:hAnsi="Arial"/>
        <w:i/>
        <w:sz w:val="16"/>
        <w:szCs w:val="24"/>
      </w:rPr>
      <w:t>Governor</w:t>
    </w:r>
  </w:p>
  <w:p w14:paraId="6574F83B" w14:textId="34586CBB" w:rsidR="00BF7862" w:rsidRDefault="00BF7862" w:rsidP="00F6438F">
    <w:pPr>
      <w:tabs>
        <w:tab w:val="right" w:pos="11070"/>
      </w:tabs>
      <w:spacing w:before="80" w:after="0"/>
      <w:rPr>
        <w:rFonts w:ascii="Arial" w:hAnsi="Arial"/>
      </w:rPr>
    </w:pPr>
    <w:r>
      <w:rPr>
        <w:rFonts w:ascii="Times New Roman" w:eastAsia="Times New Roman" w:hAnsi="Times New Roman"/>
        <w:noProof/>
        <w:sz w:val="24"/>
        <w:szCs w:val="24"/>
      </w:rPr>
      <w:drawing>
        <wp:anchor distT="0" distB="0" distL="114300" distR="114300" simplePos="0" relativeHeight="251658240" behindDoc="0" locked="0" layoutInCell="1" allowOverlap="1" wp14:anchorId="404C20FE" wp14:editId="3F5004FF">
          <wp:simplePos x="0" y="0"/>
          <wp:positionH relativeFrom="column">
            <wp:posOffset>5036820</wp:posOffset>
          </wp:positionH>
          <wp:positionV relativeFrom="paragraph">
            <wp:posOffset>78105</wp:posOffset>
          </wp:positionV>
          <wp:extent cx="667385" cy="6121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7385"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rPr>
      <w:t>PUBLIC UTILITIES COMMISSION</w:t>
    </w:r>
  </w:p>
  <w:p w14:paraId="5363E751" w14:textId="77777777" w:rsidR="00BF7862" w:rsidRDefault="00BF7862" w:rsidP="00F6438F">
    <w:pPr>
      <w:tabs>
        <w:tab w:val="right" w:pos="11070"/>
      </w:tabs>
      <w:spacing w:before="80" w:after="0"/>
      <w:rPr>
        <w:rFonts w:ascii="Arial" w:hAnsi="Arial"/>
        <w:sz w:val="12"/>
      </w:rPr>
    </w:pPr>
    <w:r>
      <w:rPr>
        <w:rFonts w:ascii="Arial" w:hAnsi="Arial"/>
        <w:sz w:val="12"/>
      </w:rPr>
      <w:t>505 VAN NESS AVENUE</w:t>
    </w:r>
  </w:p>
  <w:p w14:paraId="45A06686" w14:textId="7BDC73EA" w:rsidR="00BF7862" w:rsidRDefault="00BF7862" w:rsidP="00F6438F">
    <w:pPr>
      <w:tabs>
        <w:tab w:val="right" w:pos="11070"/>
      </w:tabs>
      <w:spacing w:before="80" w:after="0"/>
      <w:rPr>
        <w:rFonts w:ascii="Arial" w:hAnsi="Arial"/>
        <w:sz w:val="12"/>
      </w:rPr>
    </w:pPr>
    <w:r>
      <w:rPr>
        <w:rFonts w:ascii="Arial" w:hAnsi="Arial"/>
        <w:sz w:val="12"/>
      </w:rPr>
      <w:t>SAN FRANCISCO, CA  94102-3298</w:t>
    </w:r>
  </w:p>
  <w:p w14:paraId="59BF7AC0" w14:textId="77777777" w:rsidR="00BF7862" w:rsidRDefault="00BF7862" w:rsidP="00F6438F">
    <w:pPr>
      <w:tabs>
        <w:tab w:val="right" w:pos="11070"/>
      </w:tabs>
      <w:spacing w:before="80" w:after="0"/>
      <w:rPr>
        <w:rFonts w:ascii="Arial" w:hAnsi="Arial"/>
        <w:sz w:val="12"/>
      </w:rPr>
    </w:pPr>
  </w:p>
  <w:p w14:paraId="21D4EE98" w14:textId="77777777" w:rsidR="00BF7862" w:rsidRPr="00F6438F" w:rsidRDefault="00BF7862" w:rsidP="00F6438F">
    <w:pPr>
      <w:tabs>
        <w:tab w:val="right" w:pos="11070"/>
      </w:tabs>
      <w:spacing w:before="80" w:after="0"/>
      <w:rPr>
        <w:rFonts w:ascii="Arial" w:hAnsi="Arial"/>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B76E2"/>
    <w:multiLevelType w:val="hybridMultilevel"/>
    <w:tmpl w:val="16260C08"/>
    <w:lvl w:ilvl="0" w:tplc="04090017">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9134E3"/>
    <w:multiLevelType w:val="hybridMultilevel"/>
    <w:tmpl w:val="6D04BD62"/>
    <w:lvl w:ilvl="0" w:tplc="04090017">
      <w:start w:val="1"/>
      <w:numFmt w:val="lowerLetter"/>
      <w:lvlText w:val="%1)"/>
      <w:lvlJc w:val="left"/>
      <w:pPr>
        <w:ind w:left="1440" w:hanging="360"/>
      </w:pPr>
    </w:lvl>
    <w:lvl w:ilvl="1" w:tplc="04090013">
      <w:start w:val="1"/>
      <w:numFmt w:val="upp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4C5008E"/>
    <w:multiLevelType w:val="hybridMultilevel"/>
    <w:tmpl w:val="726CF386"/>
    <w:lvl w:ilvl="0" w:tplc="0409000F">
      <w:start w:val="1"/>
      <w:numFmt w:val="decimal"/>
      <w:lvlText w:val="%1."/>
      <w:lvlJc w:val="left"/>
      <w:pPr>
        <w:ind w:left="720" w:hanging="360"/>
      </w:pPr>
    </w:lvl>
    <w:lvl w:ilvl="1" w:tplc="345280D2">
      <w:start w:val="1"/>
      <w:numFmt w:val="upperLetter"/>
      <w:lvlText w:val="Appendix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465E8"/>
    <w:multiLevelType w:val="hybridMultilevel"/>
    <w:tmpl w:val="A016F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87F37"/>
    <w:multiLevelType w:val="hybridMultilevel"/>
    <w:tmpl w:val="771609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B430C8"/>
    <w:multiLevelType w:val="hybridMultilevel"/>
    <w:tmpl w:val="6D90AC7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EE03DA1"/>
    <w:multiLevelType w:val="hybridMultilevel"/>
    <w:tmpl w:val="726CF386"/>
    <w:lvl w:ilvl="0" w:tplc="0409000F">
      <w:start w:val="1"/>
      <w:numFmt w:val="decimal"/>
      <w:lvlText w:val="%1."/>
      <w:lvlJc w:val="left"/>
      <w:pPr>
        <w:ind w:left="720" w:hanging="360"/>
      </w:pPr>
    </w:lvl>
    <w:lvl w:ilvl="1" w:tplc="345280D2">
      <w:start w:val="1"/>
      <w:numFmt w:val="upperLetter"/>
      <w:lvlText w:val="Appendix %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373820"/>
    <w:multiLevelType w:val="hybridMultilevel"/>
    <w:tmpl w:val="0546CCCA"/>
    <w:lvl w:ilvl="0" w:tplc="91F635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7"/>
  </w:num>
  <w:num w:numId="3">
    <w:abstractNumId w:val="4"/>
  </w:num>
  <w:num w:numId="4">
    <w:abstractNumId w:val="5"/>
  </w:num>
  <w:num w:numId="5">
    <w:abstractNumId w:val="1"/>
  </w:num>
  <w:num w:numId="6">
    <w:abstractNumId w:val="0"/>
  </w:num>
  <w:num w:numId="7">
    <w:abstractNumId w:val="2"/>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charik, Rachel">
    <w15:presenceInfo w15:providerId="AD" w15:userId="S-1-5-21-1644491937-113007714-682003330-11499"/>
  </w15:person>
  <w15:person w15:author="Harcharik, Rachel [2]">
    <w15:presenceInfo w15:providerId="AD" w15:userId="S-1-5-21-1644491937-113007714-682003330-11499"/>
  </w15:person>
  <w15:person w15:author="Gonzales, David">
    <w15:presenceInfo w15:providerId="AD" w15:userId="S-1-5-21-1644491937-113007714-682003330-1453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64A"/>
    <w:rsid w:val="0002723B"/>
    <w:rsid w:val="00031217"/>
    <w:rsid w:val="000673AE"/>
    <w:rsid w:val="00072743"/>
    <w:rsid w:val="000876D3"/>
    <w:rsid w:val="000879D8"/>
    <w:rsid w:val="0009762B"/>
    <w:rsid w:val="000A6D70"/>
    <w:rsid w:val="000C6042"/>
    <w:rsid w:val="000D0765"/>
    <w:rsid w:val="000D0E2A"/>
    <w:rsid w:val="000D2304"/>
    <w:rsid w:val="00104013"/>
    <w:rsid w:val="00180DD3"/>
    <w:rsid w:val="00181EF9"/>
    <w:rsid w:val="00187D83"/>
    <w:rsid w:val="00190885"/>
    <w:rsid w:val="001933C6"/>
    <w:rsid w:val="0019347D"/>
    <w:rsid w:val="0019619B"/>
    <w:rsid w:val="001A21F1"/>
    <w:rsid w:val="001A24DD"/>
    <w:rsid w:val="001C4946"/>
    <w:rsid w:val="00221E52"/>
    <w:rsid w:val="00237938"/>
    <w:rsid w:val="00251199"/>
    <w:rsid w:val="00290BB7"/>
    <w:rsid w:val="00296840"/>
    <w:rsid w:val="002B4E28"/>
    <w:rsid w:val="002E275B"/>
    <w:rsid w:val="00312615"/>
    <w:rsid w:val="00385FFA"/>
    <w:rsid w:val="003A570C"/>
    <w:rsid w:val="003D1E4B"/>
    <w:rsid w:val="003D2FE5"/>
    <w:rsid w:val="003D7A31"/>
    <w:rsid w:val="003E3D9E"/>
    <w:rsid w:val="003F0C17"/>
    <w:rsid w:val="003F3413"/>
    <w:rsid w:val="00427144"/>
    <w:rsid w:val="00444CFB"/>
    <w:rsid w:val="00474B3B"/>
    <w:rsid w:val="00495B0E"/>
    <w:rsid w:val="00497A7D"/>
    <w:rsid w:val="004C3BDB"/>
    <w:rsid w:val="004D7673"/>
    <w:rsid w:val="004E316A"/>
    <w:rsid w:val="00511394"/>
    <w:rsid w:val="0057152C"/>
    <w:rsid w:val="005B173F"/>
    <w:rsid w:val="005B292A"/>
    <w:rsid w:val="005C6CA0"/>
    <w:rsid w:val="005E75AE"/>
    <w:rsid w:val="005F4687"/>
    <w:rsid w:val="005F5CD8"/>
    <w:rsid w:val="00620759"/>
    <w:rsid w:val="00652AF4"/>
    <w:rsid w:val="00686032"/>
    <w:rsid w:val="006B1EB4"/>
    <w:rsid w:val="006B6ACD"/>
    <w:rsid w:val="006D2B2F"/>
    <w:rsid w:val="0070715B"/>
    <w:rsid w:val="007300D4"/>
    <w:rsid w:val="007342E5"/>
    <w:rsid w:val="0077564A"/>
    <w:rsid w:val="007823F5"/>
    <w:rsid w:val="007C20DF"/>
    <w:rsid w:val="007C796F"/>
    <w:rsid w:val="00816BCC"/>
    <w:rsid w:val="0083438A"/>
    <w:rsid w:val="00837533"/>
    <w:rsid w:val="00852A39"/>
    <w:rsid w:val="0087574D"/>
    <w:rsid w:val="00882AF9"/>
    <w:rsid w:val="00883BB2"/>
    <w:rsid w:val="008A5981"/>
    <w:rsid w:val="008B0F71"/>
    <w:rsid w:val="008E77F7"/>
    <w:rsid w:val="009010E4"/>
    <w:rsid w:val="00907E88"/>
    <w:rsid w:val="00954A06"/>
    <w:rsid w:val="0096120D"/>
    <w:rsid w:val="009717F8"/>
    <w:rsid w:val="0097279C"/>
    <w:rsid w:val="009819D4"/>
    <w:rsid w:val="00981E5B"/>
    <w:rsid w:val="00987A4B"/>
    <w:rsid w:val="009B0D6D"/>
    <w:rsid w:val="009D1C53"/>
    <w:rsid w:val="009D5687"/>
    <w:rsid w:val="009E1AE4"/>
    <w:rsid w:val="00A2200F"/>
    <w:rsid w:val="00A43510"/>
    <w:rsid w:val="00A73277"/>
    <w:rsid w:val="00A75314"/>
    <w:rsid w:val="00A906C1"/>
    <w:rsid w:val="00AB1C25"/>
    <w:rsid w:val="00AC39EA"/>
    <w:rsid w:val="00AD49B5"/>
    <w:rsid w:val="00B155A5"/>
    <w:rsid w:val="00B31FA9"/>
    <w:rsid w:val="00B34402"/>
    <w:rsid w:val="00B94552"/>
    <w:rsid w:val="00BD0E26"/>
    <w:rsid w:val="00BD764C"/>
    <w:rsid w:val="00BF181F"/>
    <w:rsid w:val="00BF7862"/>
    <w:rsid w:val="00C01746"/>
    <w:rsid w:val="00C336BC"/>
    <w:rsid w:val="00C45CC4"/>
    <w:rsid w:val="00C46A72"/>
    <w:rsid w:val="00C66C2C"/>
    <w:rsid w:val="00C7650D"/>
    <w:rsid w:val="00C8395E"/>
    <w:rsid w:val="00CA341D"/>
    <w:rsid w:val="00CC1554"/>
    <w:rsid w:val="00CE7E8A"/>
    <w:rsid w:val="00CF1A7B"/>
    <w:rsid w:val="00D04D0F"/>
    <w:rsid w:val="00D11A3B"/>
    <w:rsid w:val="00D27DF5"/>
    <w:rsid w:val="00D34753"/>
    <w:rsid w:val="00D43D9F"/>
    <w:rsid w:val="00D44E5C"/>
    <w:rsid w:val="00D676AD"/>
    <w:rsid w:val="00D754EF"/>
    <w:rsid w:val="00D76679"/>
    <w:rsid w:val="00D778D2"/>
    <w:rsid w:val="00D90473"/>
    <w:rsid w:val="00DC6E81"/>
    <w:rsid w:val="00DD4114"/>
    <w:rsid w:val="00E2321D"/>
    <w:rsid w:val="00E52111"/>
    <w:rsid w:val="00E5673B"/>
    <w:rsid w:val="00E66535"/>
    <w:rsid w:val="00E72043"/>
    <w:rsid w:val="00EB2DC6"/>
    <w:rsid w:val="00EC6CFC"/>
    <w:rsid w:val="00EE7E11"/>
    <w:rsid w:val="00F203EE"/>
    <w:rsid w:val="00F47870"/>
    <w:rsid w:val="00F6438F"/>
    <w:rsid w:val="00F6554A"/>
    <w:rsid w:val="00FA2F19"/>
    <w:rsid w:val="00FC2235"/>
    <w:rsid w:val="00FD2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D2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EF9"/>
    <w:pPr>
      <w:ind w:left="720"/>
    </w:pPr>
  </w:style>
  <w:style w:type="character" w:styleId="Hyperlink">
    <w:name w:val="Hyperlink"/>
    <w:uiPriority w:val="99"/>
    <w:unhideWhenUsed/>
    <w:rsid w:val="00181EF9"/>
    <w:rPr>
      <w:color w:val="0000FF"/>
      <w:u w:val="single"/>
    </w:rPr>
  </w:style>
  <w:style w:type="paragraph" w:styleId="FootnoteText">
    <w:name w:val="footnote text"/>
    <w:basedOn w:val="Normal"/>
    <w:link w:val="FootnoteTextChar"/>
    <w:uiPriority w:val="99"/>
    <w:semiHidden/>
    <w:unhideWhenUsed/>
    <w:rsid w:val="00181EF9"/>
    <w:rPr>
      <w:sz w:val="20"/>
      <w:szCs w:val="20"/>
    </w:rPr>
  </w:style>
  <w:style w:type="character" w:customStyle="1" w:styleId="FootnoteTextChar">
    <w:name w:val="Footnote Text Char"/>
    <w:basedOn w:val="DefaultParagraphFont"/>
    <w:link w:val="FootnoteText"/>
    <w:uiPriority w:val="99"/>
    <w:semiHidden/>
    <w:rsid w:val="00181EF9"/>
  </w:style>
  <w:style w:type="character" w:styleId="FootnoteReference">
    <w:name w:val="footnote reference"/>
    <w:uiPriority w:val="99"/>
    <w:semiHidden/>
    <w:unhideWhenUsed/>
    <w:rsid w:val="00181EF9"/>
    <w:rPr>
      <w:vertAlign w:val="superscript"/>
    </w:rPr>
  </w:style>
  <w:style w:type="table" w:styleId="TableGrid">
    <w:name w:val="Table Grid"/>
    <w:basedOn w:val="TableNormal"/>
    <w:uiPriority w:val="59"/>
    <w:rsid w:val="00F20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03EE"/>
    <w:rPr>
      <w:b/>
      <w:bCs/>
      <w:sz w:val="20"/>
      <w:szCs w:val="20"/>
    </w:rPr>
  </w:style>
  <w:style w:type="paragraph" w:styleId="Header">
    <w:name w:val="header"/>
    <w:basedOn w:val="Normal"/>
    <w:link w:val="HeaderChar"/>
    <w:uiPriority w:val="99"/>
    <w:unhideWhenUsed/>
    <w:rsid w:val="0019619B"/>
    <w:pPr>
      <w:tabs>
        <w:tab w:val="center" w:pos="4680"/>
        <w:tab w:val="right" w:pos="9360"/>
      </w:tabs>
    </w:pPr>
  </w:style>
  <w:style w:type="character" w:customStyle="1" w:styleId="HeaderChar">
    <w:name w:val="Header Char"/>
    <w:link w:val="Header"/>
    <w:uiPriority w:val="99"/>
    <w:rsid w:val="0019619B"/>
    <w:rPr>
      <w:sz w:val="22"/>
      <w:szCs w:val="22"/>
    </w:rPr>
  </w:style>
  <w:style w:type="paragraph" w:styleId="Footer">
    <w:name w:val="footer"/>
    <w:basedOn w:val="Normal"/>
    <w:link w:val="FooterChar"/>
    <w:uiPriority w:val="99"/>
    <w:unhideWhenUsed/>
    <w:rsid w:val="0019619B"/>
    <w:pPr>
      <w:tabs>
        <w:tab w:val="center" w:pos="4680"/>
        <w:tab w:val="right" w:pos="9360"/>
      </w:tabs>
    </w:pPr>
  </w:style>
  <w:style w:type="character" w:customStyle="1" w:styleId="FooterChar">
    <w:name w:val="Footer Char"/>
    <w:link w:val="Footer"/>
    <w:uiPriority w:val="99"/>
    <w:rsid w:val="0019619B"/>
    <w:rPr>
      <w:sz w:val="22"/>
      <w:szCs w:val="22"/>
    </w:rPr>
  </w:style>
  <w:style w:type="character" w:styleId="CommentReference">
    <w:name w:val="annotation reference"/>
    <w:uiPriority w:val="99"/>
    <w:semiHidden/>
    <w:unhideWhenUsed/>
    <w:rsid w:val="004E316A"/>
    <w:rPr>
      <w:sz w:val="18"/>
      <w:szCs w:val="18"/>
    </w:rPr>
  </w:style>
  <w:style w:type="paragraph" w:styleId="CommentText">
    <w:name w:val="annotation text"/>
    <w:basedOn w:val="Normal"/>
    <w:link w:val="CommentTextChar"/>
    <w:uiPriority w:val="99"/>
    <w:unhideWhenUsed/>
    <w:rsid w:val="004E316A"/>
    <w:pPr>
      <w:spacing w:line="240" w:lineRule="auto"/>
    </w:pPr>
    <w:rPr>
      <w:sz w:val="24"/>
      <w:szCs w:val="24"/>
    </w:rPr>
  </w:style>
  <w:style w:type="character" w:customStyle="1" w:styleId="CommentTextChar">
    <w:name w:val="Comment Text Char"/>
    <w:link w:val="CommentText"/>
    <w:uiPriority w:val="99"/>
    <w:rsid w:val="004E316A"/>
    <w:rPr>
      <w:sz w:val="24"/>
      <w:szCs w:val="24"/>
    </w:rPr>
  </w:style>
  <w:style w:type="paragraph" w:styleId="BalloonText">
    <w:name w:val="Balloon Text"/>
    <w:basedOn w:val="Normal"/>
    <w:link w:val="BalloonTextChar"/>
    <w:uiPriority w:val="99"/>
    <w:semiHidden/>
    <w:unhideWhenUsed/>
    <w:rsid w:val="004E31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316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8395E"/>
    <w:pPr>
      <w:spacing w:line="276" w:lineRule="auto"/>
    </w:pPr>
    <w:rPr>
      <w:b/>
      <w:bCs/>
      <w:sz w:val="20"/>
      <w:szCs w:val="20"/>
    </w:rPr>
  </w:style>
  <w:style w:type="character" w:customStyle="1" w:styleId="CommentSubjectChar">
    <w:name w:val="Comment Subject Char"/>
    <w:link w:val="CommentSubject"/>
    <w:uiPriority w:val="99"/>
    <w:semiHidden/>
    <w:rsid w:val="00C8395E"/>
    <w:rPr>
      <w:b/>
      <w:bCs/>
      <w:sz w:val="24"/>
      <w:szCs w:val="24"/>
    </w:rPr>
  </w:style>
  <w:style w:type="character" w:styleId="FollowedHyperlink">
    <w:name w:val="FollowedHyperlink"/>
    <w:uiPriority w:val="99"/>
    <w:semiHidden/>
    <w:unhideWhenUsed/>
    <w:rsid w:val="00444CFB"/>
    <w:rPr>
      <w:color w:val="800080"/>
      <w:u w:val="single"/>
    </w:rPr>
  </w:style>
  <w:style w:type="paragraph" w:styleId="Revision">
    <w:name w:val="Revision"/>
    <w:hidden/>
    <w:uiPriority w:val="99"/>
    <w:semiHidden/>
    <w:rsid w:val="00BD0E26"/>
    <w:rPr>
      <w:sz w:val="22"/>
      <w:szCs w:val="22"/>
    </w:rPr>
  </w:style>
  <w:style w:type="paragraph" w:styleId="BodyText2">
    <w:name w:val="Body Text 2"/>
    <w:basedOn w:val="Normal"/>
    <w:link w:val="BodyText2Char"/>
    <w:uiPriority w:val="99"/>
    <w:semiHidden/>
    <w:unhideWhenUsed/>
    <w:rsid w:val="00BF7862"/>
    <w:pPr>
      <w:spacing w:after="120" w:line="480" w:lineRule="auto"/>
    </w:pPr>
  </w:style>
  <w:style w:type="character" w:customStyle="1" w:styleId="BodyText2Char">
    <w:name w:val="Body Text 2 Char"/>
    <w:basedOn w:val="DefaultParagraphFont"/>
    <w:link w:val="BodyText2"/>
    <w:uiPriority w:val="99"/>
    <w:semiHidden/>
    <w:rsid w:val="00BF7862"/>
    <w:rPr>
      <w:sz w:val="22"/>
      <w:szCs w:val="22"/>
    </w:rPr>
  </w:style>
  <w:style w:type="paragraph" w:styleId="EndnoteText">
    <w:name w:val="endnote text"/>
    <w:basedOn w:val="Normal"/>
    <w:link w:val="EndnoteTextChar"/>
    <w:uiPriority w:val="99"/>
    <w:semiHidden/>
    <w:unhideWhenUsed/>
    <w:rsid w:val="002968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6840"/>
  </w:style>
  <w:style w:type="character" w:styleId="EndnoteReference">
    <w:name w:val="endnote reference"/>
    <w:basedOn w:val="DefaultParagraphFont"/>
    <w:uiPriority w:val="99"/>
    <w:semiHidden/>
    <w:unhideWhenUsed/>
    <w:rsid w:val="002968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EF9"/>
    <w:pPr>
      <w:ind w:left="720"/>
    </w:pPr>
  </w:style>
  <w:style w:type="character" w:styleId="Hyperlink">
    <w:name w:val="Hyperlink"/>
    <w:uiPriority w:val="99"/>
    <w:unhideWhenUsed/>
    <w:rsid w:val="00181EF9"/>
    <w:rPr>
      <w:color w:val="0000FF"/>
      <w:u w:val="single"/>
    </w:rPr>
  </w:style>
  <w:style w:type="paragraph" w:styleId="FootnoteText">
    <w:name w:val="footnote text"/>
    <w:basedOn w:val="Normal"/>
    <w:link w:val="FootnoteTextChar"/>
    <w:uiPriority w:val="99"/>
    <w:semiHidden/>
    <w:unhideWhenUsed/>
    <w:rsid w:val="00181EF9"/>
    <w:rPr>
      <w:sz w:val="20"/>
      <w:szCs w:val="20"/>
    </w:rPr>
  </w:style>
  <w:style w:type="character" w:customStyle="1" w:styleId="FootnoteTextChar">
    <w:name w:val="Footnote Text Char"/>
    <w:basedOn w:val="DefaultParagraphFont"/>
    <w:link w:val="FootnoteText"/>
    <w:uiPriority w:val="99"/>
    <w:semiHidden/>
    <w:rsid w:val="00181EF9"/>
  </w:style>
  <w:style w:type="character" w:styleId="FootnoteReference">
    <w:name w:val="footnote reference"/>
    <w:uiPriority w:val="99"/>
    <w:semiHidden/>
    <w:unhideWhenUsed/>
    <w:rsid w:val="00181EF9"/>
    <w:rPr>
      <w:vertAlign w:val="superscript"/>
    </w:rPr>
  </w:style>
  <w:style w:type="table" w:styleId="TableGrid">
    <w:name w:val="Table Grid"/>
    <w:basedOn w:val="TableNormal"/>
    <w:uiPriority w:val="59"/>
    <w:rsid w:val="00F20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03EE"/>
    <w:rPr>
      <w:b/>
      <w:bCs/>
      <w:sz w:val="20"/>
      <w:szCs w:val="20"/>
    </w:rPr>
  </w:style>
  <w:style w:type="paragraph" w:styleId="Header">
    <w:name w:val="header"/>
    <w:basedOn w:val="Normal"/>
    <w:link w:val="HeaderChar"/>
    <w:uiPriority w:val="99"/>
    <w:unhideWhenUsed/>
    <w:rsid w:val="0019619B"/>
    <w:pPr>
      <w:tabs>
        <w:tab w:val="center" w:pos="4680"/>
        <w:tab w:val="right" w:pos="9360"/>
      </w:tabs>
    </w:pPr>
  </w:style>
  <w:style w:type="character" w:customStyle="1" w:styleId="HeaderChar">
    <w:name w:val="Header Char"/>
    <w:link w:val="Header"/>
    <w:uiPriority w:val="99"/>
    <w:rsid w:val="0019619B"/>
    <w:rPr>
      <w:sz w:val="22"/>
      <w:szCs w:val="22"/>
    </w:rPr>
  </w:style>
  <w:style w:type="paragraph" w:styleId="Footer">
    <w:name w:val="footer"/>
    <w:basedOn w:val="Normal"/>
    <w:link w:val="FooterChar"/>
    <w:uiPriority w:val="99"/>
    <w:unhideWhenUsed/>
    <w:rsid w:val="0019619B"/>
    <w:pPr>
      <w:tabs>
        <w:tab w:val="center" w:pos="4680"/>
        <w:tab w:val="right" w:pos="9360"/>
      </w:tabs>
    </w:pPr>
  </w:style>
  <w:style w:type="character" w:customStyle="1" w:styleId="FooterChar">
    <w:name w:val="Footer Char"/>
    <w:link w:val="Footer"/>
    <w:uiPriority w:val="99"/>
    <w:rsid w:val="0019619B"/>
    <w:rPr>
      <w:sz w:val="22"/>
      <w:szCs w:val="22"/>
    </w:rPr>
  </w:style>
  <w:style w:type="character" w:styleId="CommentReference">
    <w:name w:val="annotation reference"/>
    <w:uiPriority w:val="99"/>
    <w:semiHidden/>
    <w:unhideWhenUsed/>
    <w:rsid w:val="004E316A"/>
    <w:rPr>
      <w:sz w:val="18"/>
      <w:szCs w:val="18"/>
    </w:rPr>
  </w:style>
  <w:style w:type="paragraph" w:styleId="CommentText">
    <w:name w:val="annotation text"/>
    <w:basedOn w:val="Normal"/>
    <w:link w:val="CommentTextChar"/>
    <w:uiPriority w:val="99"/>
    <w:unhideWhenUsed/>
    <w:rsid w:val="004E316A"/>
    <w:pPr>
      <w:spacing w:line="240" w:lineRule="auto"/>
    </w:pPr>
    <w:rPr>
      <w:sz w:val="24"/>
      <w:szCs w:val="24"/>
    </w:rPr>
  </w:style>
  <w:style w:type="character" w:customStyle="1" w:styleId="CommentTextChar">
    <w:name w:val="Comment Text Char"/>
    <w:link w:val="CommentText"/>
    <w:uiPriority w:val="99"/>
    <w:rsid w:val="004E316A"/>
    <w:rPr>
      <w:sz w:val="24"/>
      <w:szCs w:val="24"/>
    </w:rPr>
  </w:style>
  <w:style w:type="paragraph" w:styleId="BalloonText">
    <w:name w:val="Balloon Text"/>
    <w:basedOn w:val="Normal"/>
    <w:link w:val="BalloonTextChar"/>
    <w:uiPriority w:val="99"/>
    <w:semiHidden/>
    <w:unhideWhenUsed/>
    <w:rsid w:val="004E31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316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8395E"/>
    <w:pPr>
      <w:spacing w:line="276" w:lineRule="auto"/>
    </w:pPr>
    <w:rPr>
      <w:b/>
      <w:bCs/>
      <w:sz w:val="20"/>
      <w:szCs w:val="20"/>
    </w:rPr>
  </w:style>
  <w:style w:type="character" w:customStyle="1" w:styleId="CommentSubjectChar">
    <w:name w:val="Comment Subject Char"/>
    <w:link w:val="CommentSubject"/>
    <w:uiPriority w:val="99"/>
    <w:semiHidden/>
    <w:rsid w:val="00C8395E"/>
    <w:rPr>
      <w:b/>
      <w:bCs/>
      <w:sz w:val="24"/>
      <w:szCs w:val="24"/>
    </w:rPr>
  </w:style>
  <w:style w:type="character" w:styleId="FollowedHyperlink">
    <w:name w:val="FollowedHyperlink"/>
    <w:uiPriority w:val="99"/>
    <w:semiHidden/>
    <w:unhideWhenUsed/>
    <w:rsid w:val="00444CFB"/>
    <w:rPr>
      <w:color w:val="800080"/>
      <w:u w:val="single"/>
    </w:rPr>
  </w:style>
  <w:style w:type="paragraph" w:styleId="Revision">
    <w:name w:val="Revision"/>
    <w:hidden/>
    <w:uiPriority w:val="99"/>
    <w:semiHidden/>
    <w:rsid w:val="00BD0E26"/>
    <w:rPr>
      <w:sz w:val="22"/>
      <w:szCs w:val="22"/>
    </w:rPr>
  </w:style>
  <w:style w:type="paragraph" w:styleId="BodyText2">
    <w:name w:val="Body Text 2"/>
    <w:basedOn w:val="Normal"/>
    <w:link w:val="BodyText2Char"/>
    <w:uiPriority w:val="99"/>
    <w:semiHidden/>
    <w:unhideWhenUsed/>
    <w:rsid w:val="00BF7862"/>
    <w:pPr>
      <w:spacing w:after="120" w:line="480" w:lineRule="auto"/>
    </w:pPr>
  </w:style>
  <w:style w:type="character" w:customStyle="1" w:styleId="BodyText2Char">
    <w:name w:val="Body Text 2 Char"/>
    <w:basedOn w:val="DefaultParagraphFont"/>
    <w:link w:val="BodyText2"/>
    <w:uiPriority w:val="99"/>
    <w:semiHidden/>
    <w:rsid w:val="00BF7862"/>
    <w:rPr>
      <w:sz w:val="22"/>
      <w:szCs w:val="22"/>
    </w:rPr>
  </w:style>
  <w:style w:type="paragraph" w:styleId="EndnoteText">
    <w:name w:val="endnote text"/>
    <w:basedOn w:val="Normal"/>
    <w:link w:val="EndnoteTextChar"/>
    <w:uiPriority w:val="99"/>
    <w:semiHidden/>
    <w:unhideWhenUsed/>
    <w:rsid w:val="002968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6840"/>
  </w:style>
  <w:style w:type="character" w:styleId="EndnoteReference">
    <w:name w:val="endnote reference"/>
    <w:basedOn w:val="DefaultParagraphFont"/>
    <w:uiPriority w:val="99"/>
    <w:semiHidden/>
    <w:unhideWhenUsed/>
    <w:rsid w:val="002968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3609">
      <w:bodyDiv w:val="1"/>
      <w:marLeft w:val="0"/>
      <w:marRight w:val="0"/>
      <w:marTop w:val="0"/>
      <w:marBottom w:val="0"/>
      <w:divBdr>
        <w:top w:val="none" w:sz="0" w:space="0" w:color="auto"/>
        <w:left w:val="none" w:sz="0" w:space="0" w:color="auto"/>
        <w:bottom w:val="none" w:sz="0" w:space="0" w:color="auto"/>
        <w:right w:val="none" w:sz="0" w:space="0" w:color="auto"/>
      </w:divBdr>
    </w:div>
    <w:div w:id="234240082">
      <w:bodyDiv w:val="1"/>
      <w:marLeft w:val="0"/>
      <w:marRight w:val="0"/>
      <w:marTop w:val="0"/>
      <w:marBottom w:val="0"/>
      <w:divBdr>
        <w:top w:val="none" w:sz="0" w:space="0" w:color="auto"/>
        <w:left w:val="none" w:sz="0" w:space="0" w:color="auto"/>
        <w:bottom w:val="none" w:sz="0" w:space="0" w:color="auto"/>
        <w:right w:val="none" w:sz="0" w:space="0" w:color="auto"/>
      </w:divBdr>
    </w:div>
    <w:div w:id="421267928">
      <w:bodyDiv w:val="1"/>
      <w:marLeft w:val="0"/>
      <w:marRight w:val="0"/>
      <w:marTop w:val="0"/>
      <w:marBottom w:val="0"/>
      <w:divBdr>
        <w:top w:val="none" w:sz="0" w:space="0" w:color="auto"/>
        <w:left w:val="none" w:sz="0" w:space="0" w:color="auto"/>
        <w:bottom w:val="none" w:sz="0" w:space="0" w:color="auto"/>
        <w:right w:val="none" w:sz="0" w:space="0" w:color="auto"/>
      </w:divBdr>
    </w:div>
    <w:div w:id="575014454">
      <w:bodyDiv w:val="1"/>
      <w:marLeft w:val="0"/>
      <w:marRight w:val="0"/>
      <w:marTop w:val="0"/>
      <w:marBottom w:val="0"/>
      <w:divBdr>
        <w:top w:val="none" w:sz="0" w:space="0" w:color="auto"/>
        <w:left w:val="none" w:sz="0" w:space="0" w:color="auto"/>
        <w:bottom w:val="none" w:sz="0" w:space="0" w:color="auto"/>
        <w:right w:val="none" w:sz="0" w:space="0" w:color="auto"/>
      </w:divBdr>
    </w:div>
    <w:div w:id="704911012">
      <w:bodyDiv w:val="1"/>
      <w:marLeft w:val="0"/>
      <w:marRight w:val="0"/>
      <w:marTop w:val="0"/>
      <w:marBottom w:val="0"/>
      <w:divBdr>
        <w:top w:val="none" w:sz="0" w:space="0" w:color="auto"/>
        <w:left w:val="none" w:sz="0" w:space="0" w:color="auto"/>
        <w:bottom w:val="none" w:sz="0" w:space="0" w:color="auto"/>
        <w:right w:val="none" w:sz="0" w:space="0" w:color="auto"/>
      </w:divBdr>
    </w:div>
    <w:div w:id="829367070">
      <w:bodyDiv w:val="1"/>
      <w:marLeft w:val="0"/>
      <w:marRight w:val="0"/>
      <w:marTop w:val="0"/>
      <w:marBottom w:val="0"/>
      <w:divBdr>
        <w:top w:val="none" w:sz="0" w:space="0" w:color="auto"/>
        <w:left w:val="none" w:sz="0" w:space="0" w:color="auto"/>
        <w:bottom w:val="none" w:sz="0" w:space="0" w:color="auto"/>
        <w:right w:val="none" w:sz="0" w:space="0" w:color="auto"/>
      </w:divBdr>
    </w:div>
    <w:div w:id="900561750">
      <w:bodyDiv w:val="1"/>
      <w:marLeft w:val="0"/>
      <w:marRight w:val="0"/>
      <w:marTop w:val="0"/>
      <w:marBottom w:val="0"/>
      <w:divBdr>
        <w:top w:val="none" w:sz="0" w:space="0" w:color="auto"/>
        <w:left w:val="none" w:sz="0" w:space="0" w:color="auto"/>
        <w:bottom w:val="none" w:sz="0" w:space="0" w:color="auto"/>
        <w:right w:val="none" w:sz="0" w:space="0" w:color="auto"/>
      </w:divBdr>
    </w:div>
    <w:div w:id="130489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cpuc.ca.gov/PUC/energy/Energy+Efficiency/Shareholder+Incentive+Mechanism.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package" Target="embeddings/Microsoft_Visio_Drawing11114444444444.vs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cpuc.ca.gov/PUC/energy/Energy+Efficiency/Shareholder+Incentive+Mechanism.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111111111111111111111.vsdx"/><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eader" Target="header1.xm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package" Target="embeddings/Microsoft_Excel_Worksheet2.xlsx"/><Relationship Id="rId36"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package" Target="embeddings/Microsoft_Word_Document3.docx"/><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www.cpuc.ca.gov/NR/rdonlyres/3F9E5EF6-E399-47AB-80D3-821FB3C9FB76/0/2013ESPIMemosFinal.doc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7.emf"/><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www.cpuc.ca.gov/PUC/energy/Energy+Efficiency/Shareholder+Incentive+Mechanism.htm" TargetMode="External"/><Relationship Id="rId2" Type="http://schemas.openxmlformats.org/officeDocument/2006/relationships/hyperlink" Target="http://www.cpuc.ca.gov/PUC/energy/Energy+Efficiency/Shareholder+Incentive+Mechanism.htm" TargetMode="External"/><Relationship Id="rId1" Type="http://schemas.openxmlformats.org/officeDocument/2006/relationships/hyperlink" Target="http://www.energydataweb.com/cpuc/comment.aspx?did=12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FF111-F56F-425B-A965-608CA41E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2995</Words>
  <Characters>17074</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Tagnipes, Jeorge S.</dc:creator>
  <cp:lastModifiedBy>Franzese, Peter</cp:lastModifiedBy>
  <cp:revision>2</cp:revision>
  <cp:lastPrinted>2015-06-04T18:28:00Z</cp:lastPrinted>
  <dcterms:created xsi:type="dcterms:W3CDTF">2015-11-04T19:32:00Z</dcterms:created>
  <dcterms:modified xsi:type="dcterms:W3CDTF">2015-11-04T19:32:00Z</dcterms:modified>
</cp:coreProperties>
</file>