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50" w:rsidRDefault="00AE7D50">
      <w:pPr>
        <w:spacing w:before="120"/>
        <w:jc w:val="center"/>
        <w:rPr>
          <w:b/>
          <w:sz w:val="36"/>
          <w:szCs w:val="36"/>
        </w:rPr>
      </w:pPr>
    </w:p>
    <w:p w:rsidR="00AE7D50" w:rsidRDefault="00AE7D50">
      <w:pPr>
        <w:spacing w:before="120"/>
        <w:jc w:val="center"/>
        <w:rPr>
          <w:b/>
          <w:sz w:val="36"/>
          <w:szCs w:val="36"/>
        </w:rPr>
      </w:pPr>
    </w:p>
    <w:p w:rsidR="00AE7D50" w:rsidRDefault="00AE7D50">
      <w:pPr>
        <w:spacing w:before="120"/>
        <w:jc w:val="center"/>
        <w:rPr>
          <w:b/>
          <w:sz w:val="36"/>
          <w:szCs w:val="36"/>
        </w:rPr>
      </w:pPr>
      <w:r>
        <w:rPr>
          <w:b/>
          <w:sz w:val="36"/>
          <w:szCs w:val="36"/>
        </w:rPr>
        <w:t>2011 Resource Adequacy Report</w:t>
      </w:r>
    </w:p>
    <w:p w:rsidR="00AE7D50" w:rsidRDefault="00AE7D50">
      <w:pPr>
        <w:pStyle w:val="Subtitle"/>
        <w:rPr>
          <w:rFonts w:ascii="Times New Roman" w:hAnsi="Times New Roman"/>
          <w:b/>
        </w:rPr>
      </w:pPr>
      <w:bookmarkStart w:id="0" w:name="_Toc223253242"/>
      <w:bookmarkStart w:id="1" w:name="_Toc224022425"/>
    </w:p>
    <w:p w:rsidR="00AE7D50" w:rsidRDefault="00AE7D50">
      <w:pPr>
        <w:pStyle w:val="Subtitle"/>
        <w:rPr>
          <w:rFonts w:ascii="Times New Roman" w:hAnsi="Times New Roman"/>
          <w:b/>
        </w:rPr>
      </w:pPr>
    </w:p>
    <w:p w:rsidR="00AE7D50" w:rsidRDefault="00AE7D50">
      <w:pPr>
        <w:pStyle w:val="Subtitle"/>
        <w:rPr>
          <w:rFonts w:ascii="Times New Roman" w:hAnsi="Times New Roman"/>
          <w:b/>
        </w:rPr>
      </w:pPr>
    </w:p>
    <w:p w:rsidR="00AE7D50" w:rsidRDefault="00AE7D50">
      <w:pPr>
        <w:pStyle w:val="Subtitle"/>
        <w:rPr>
          <w:rFonts w:ascii="Times New Roman" w:hAnsi="Times New Roman"/>
          <w:b/>
          <w:sz w:val="32"/>
          <w:szCs w:val="32"/>
        </w:rPr>
      </w:pPr>
      <w:r>
        <w:rPr>
          <w:rFonts w:ascii="Times New Roman" w:hAnsi="Times New Roman"/>
          <w:b/>
          <w:sz w:val="32"/>
          <w:szCs w:val="32"/>
        </w:rPr>
        <w:t>Produced by</w:t>
      </w:r>
    </w:p>
    <w:p w:rsidR="00AE7D50" w:rsidRDefault="00AE7D50">
      <w:pPr>
        <w:pStyle w:val="Subtitle"/>
        <w:rPr>
          <w:rFonts w:ascii="Times New Roman" w:hAnsi="Times New Roman"/>
          <w:b/>
          <w:sz w:val="32"/>
          <w:szCs w:val="32"/>
        </w:rPr>
      </w:pPr>
      <w:r>
        <w:rPr>
          <w:rFonts w:ascii="Times New Roman" w:hAnsi="Times New Roman"/>
          <w:b/>
          <w:sz w:val="32"/>
          <w:szCs w:val="32"/>
        </w:rPr>
        <w:t>The Staff of the</w:t>
      </w:r>
    </w:p>
    <w:p w:rsidR="00AE7D50" w:rsidRDefault="00AE7D50">
      <w:pPr>
        <w:pStyle w:val="Subtitle"/>
        <w:rPr>
          <w:rFonts w:ascii="Times New Roman" w:hAnsi="Times New Roman"/>
          <w:b/>
          <w:sz w:val="32"/>
          <w:szCs w:val="32"/>
        </w:rPr>
      </w:pPr>
      <w:smartTag w:uri="urn:schemas-microsoft-com:office:smarttags" w:element="State">
        <w:r>
          <w:rPr>
            <w:rFonts w:ascii="Times New Roman" w:hAnsi="Times New Roman"/>
            <w:b/>
            <w:sz w:val="32"/>
            <w:szCs w:val="32"/>
          </w:rPr>
          <w:t>California</w:t>
        </w:r>
      </w:smartTag>
      <w:r>
        <w:rPr>
          <w:rFonts w:ascii="Times New Roman" w:hAnsi="Times New Roman"/>
          <w:b/>
          <w:sz w:val="32"/>
          <w:szCs w:val="32"/>
        </w:rPr>
        <w:t xml:space="preserve"> Public Utilities Commission with the assistance of </w:t>
      </w:r>
      <w:smartTag w:uri="urn:schemas-microsoft-com:office:smarttags" w:element="place">
        <w:smartTag w:uri="urn:schemas-microsoft-com:office:smarttags" w:element="State">
          <w:r>
            <w:rPr>
              <w:rFonts w:ascii="Times New Roman" w:hAnsi="Times New Roman"/>
              <w:b/>
              <w:sz w:val="32"/>
              <w:szCs w:val="32"/>
            </w:rPr>
            <w:t>California</w:t>
          </w:r>
        </w:smartTag>
      </w:smartTag>
      <w:r>
        <w:rPr>
          <w:rFonts w:ascii="Times New Roman" w:hAnsi="Times New Roman"/>
          <w:b/>
          <w:sz w:val="32"/>
          <w:szCs w:val="32"/>
        </w:rPr>
        <w:t xml:space="preserve"> Energy Commission Staff</w:t>
      </w:r>
    </w:p>
    <w:p w:rsidR="00AE7D50" w:rsidRDefault="00AE7D50">
      <w:pPr>
        <w:pStyle w:val="Subtitle"/>
        <w:rPr>
          <w:rFonts w:ascii="Times New Roman" w:hAnsi="Times New Roman"/>
          <w:b/>
          <w:sz w:val="32"/>
          <w:szCs w:val="32"/>
        </w:rPr>
      </w:pPr>
    </w:p>
    <w:p w:rsidR="00AE7D50" w:rsidRDefault="00AE7D50">
      <w:pPr>
        <w:pStyle w:val="Subtitle"/>
        <w:rPr>
          <w:rFonts w:ascii="Times New Roman" w:hAnsi="Times New Roman"/>
          <w:b/>
          <w:sz w:val="32"/>
          <w:szCs w:val="32"/>
        </w:rPr>
      </w:pPr>
    </w:p>
    <w:p w:rsidR="00AE7D50" w:rsidRDefault="00691252">
      <w:pPr>
        <w:pStyle w:val="Subtitle"/>
        <w:rPr>
          <w:rFonts w:ascii="Times New Roman" w:hAnsi="Times New Roman"/>
          <w:b/>
          <w:sz w:val="32"/>
          <w:szCs w:val="32"/>
        </w:rPr>
      </w:pPr>
      <w:r>
        <w:rPr>
          <w:rFonts w:ascii="Times New Roman" w:hAnsi="Times New Roman"/>
          <w:b/>
          <w:sz w:val="32"/>
          <w:szCs w:val="32"/>
        </w:rPr>
        <w:t xml:space="preserve">February </w:t>
      </w:r>
      <w:r w:rsidR="00E02059">
        <w:rPr>
          <w:rFonts w:ascii="Times New Roman" w:hAnsi="Times New Roman"/>
          <w:b/>
          <w:sz w:val="32"/>
          <w:szCs w:val="32"/>
        </w:rPr>
        <w:t>5</w:t>
      </w:r>
      <w:r w:rsidR="00960862">
        <w:rPr>
          <w:rFonts w:ascii="Times New Roman" w:hAnsi="Times New Roman"/>
          <w:b/>
          <w:sz w:val="32"/>
          <w:szCs w:val="32"/>
        </w:rPr>
        <w:t>, 2013</w:t>
      </w:r>
    </w:p>
    <w:p w:rsidR="00AE7D50" w:rsidRDefault="00AE7D50">
      <w:pPr>
        <w:spacing w:before="120"/>
      </w:pPr>
    </w:p>
    <w:p w:rsidR="00AE7D50" w:rsidRDefault="00AE7D50">
      <w:pPr>
        <w:spacing w:before="120"/>
        <w:jc w:val="center"/>
      </w:pPr>
    </w:p>
    <w:p w:rsidR="00AE7D50" w:rsidRDefault="00AE7D50">
      <w:pPr>
        <w:spacing w:before="120"/>
        <w:jc w:val="center"/>
      </w:pPr>
      <w:r>
        <w:t>Donald Brooks (CPUC)</w:t>
      </w:r>
    </w:p>
    <w:p w:rsidR="00AE7D50" w:rsidRDefault="00AE7D50">
      <w:pPr>
        <w:spacing w:before="120"/>
        <w:jc w:val="center"/>
      </w:pPr>
      <w:r>
        <w:t>Jaime Gannon (CPUC)</w:t>
      </w:r>
    </w:p>
    <w:p w:rsidR="00AE7D50" w:rsidRDefault="00AE7D50">
      <w:pPr>
        <w:spacing w:before="120"/>
        <w:jc w:val="center"/>
        <w:rPr>
          <w:b/>
          <w:sz w:val="36"/>
          <w:szCs w:val="36"/>
        </w:rPr>
      </w:pPr>
      <w:r>
        <w:br w:type="page"/>
      </w:r>
      <w:r>
        <w:rPr>
          <w:b/>
          <w:sz w:val="36"/>
          <w:szCs w:val="36"/>
        </w:rPr>
        <w:lastRenderedPageBreak/>
        <w:t>2011 Resource Adequacy Report</w:t>
      </w:r>
    </w:p>
    <w:p w:rsidR="00AE7D50" w:rsidRDefault="00AE7D50">
      <w:pPr>
        <w:pStyle w:val="Heading1"/>
        <w:numPr>
          <w:ilvl w:val="0"/>
          <w:numId w:val="0"/>
        </w:numPr>
        <w:spacing w:before="0"/>
      </w:pPr>
    </w:p>
    <w:p w:rsidR="00AE7D50" w:rsidRPr="00AD151D" w:rsidRDefault="00AE7D50">
      <w:pPr>
        <w:pStyle w:val="Heading1"/>
        <w:numPr>
          <w:ilvl w:val="0"/>
          <w:numId w:val="0"/>
        </w:numPr>
        <w:spacing w:before="0"/>
      </w:pPr>
      <w:bookmarkStart w:id="2" w:name="_Toc347827038"/>
      <w:r w:rsidRPr="00AD151D">
        <w:t>Table of Contents</w:t>
      </w:r>
      <w:bookmarkEnd w:id="0"/>
      <w:bookmarkEnd w:id="1"/>
      <w:bookmarkEnd w:id="2"/>
    </w:p>
    <w:p w:rsidR="00B3535E" w:rsidRDefault="00AE7D50">
      <w:pPr>
        <w:pStyle w:val="TOC1"/>
        <w:tabs>
          <w:tab w:val="right" w:leader="dot" w:pos="8630"/>
        </w:tabs>
        <w:rPr>
          <w:rFonts w:asciiTheme="minorHAnsi" w:eastAsiaTheme="minorEastAsia" w:hAnsiTheme="minorHAnsi" w:cstheme="minorBidi"/>
          <w:noProof/>
          <w:sz w:val="22"/>
          <w:szCs w:val="22"/>
        </w:rPr>
      </w:pPr>
      <w:r w:rsidRPr="00AD151D">
        <w:rPr>
          <w:b/>
        </w:rPr>
        <w:fldChar w:fldCharType="begin"/>
      </w:r>
      <w:r w:rsidRPr="00AD151D">
        <w:rPr>
          <w:b/>
        </w:rPr>
        <w:instrText xml:space="preserve"> TOC \o "1-3" </w:instrText>
      </w:r>
      <w:r w:rsidRPr="00AD151D">
        <w:rPr>
          <w:b/>
        </w:rPr>
        <w:fldChar w:fldCharType="separate"/>
      </w:r>
      <w:r w:rsidR="00B3535E">
        <w:rPr>
          <w:noProof/>
        </w:rPr>
        <w:t>Table of Contents</w:t>
      </w:r>
      <w:r w:rsidR="00B3535E">
        <w:rPr>
          <w:noProof/>
        </w:rPr>
        <w:tab/>
      </w:r>
      <w:r w:rsidR="00B3535E">
        <w:rPr>
          <w:noProof/>
        </w:rPr>
        <w:fldChar w:fldCharType="begin"/>
      </w:r>
      <w:r w:rsidR="00B3535E">
        <w:rPr>
          <w:noProof/>
        </w:rPr>
        <w:instrText xml:space="preserve"> PAGEREF _Toc347827038 \h </w:instrText>
      </w:r>
      <w:r w:rsidR="00B3535E">
        <w:rPr>
          <w:noProof/>
        </w:rPr>
      </w:r>
      <w:r w:rsidR="00B3535E">
        <w:rPr>
          <w:noProof/>
        </w:rPr>
        <w:fldChar w:fldCharType="separate"/>
      </w:r>
      <w:r w:rsidR="00B3535E">
        <w:rPr>
          <w:noProof/>
        </w:rPr>
        <w:t>1</w:t>
      </w:r>
      <w:r w:rsidR="00B3535E">
        <w:rPr>
          <w:noProof/>
        </w:rPr>
        <w:fldChar w:fldCharType="end"/>
      </w:r>
    </w:p>
    <w:p w:rsidR="00B3535E" w:rsidRDefault="00B3535E">
      <w:pPr>
        <w:pStyle w:val="TOC1"/>
        <w:tabs>
          <w:tab w:val="right" w:leader="dot" w:pos="8630"/>
        </w:tabs>
        <w:rPr>
          <w:rFonts w:asciiTheme="minorHAnsi" w:eastAsiaTheme="minorEastAsia" w:hAnsiTheme="minorHAnsi" w:cstheme="minorBidi"/>
          <w:noProof/>
          <w:sz w:val="22"/>
          <w:szCs w:val="22"/>
        </w:rPr>
      </w:pPr>
      <w:r>
        <w:rPr>
          <w:noProof/>
        </w:rPr>
        <w:t>Index of Tables</w:t>
      </w:r>
      <w:r>
        <w:rPr>
          <w:noProof/>
        </w:rPr>
        <w:tab/>
      </w:r>
      <w:r>
        <w:rPr>
          <w:noProof/>
        </w:rPr>
        <w:fldChar w:fldCharType="begin"/>
      </w:r>
      <w:r>
        <w:rPr>
          <w:noProof/>
        </w:rPr>
        <w:instrText xml:space="preserve"> PAGEREF _Toc347827039 \h </w:instrText>
      </w:r>
      <w:r>
        <w:rPr>
          <w:noProof/>
        </w:rPr>
      </w:r>
      <w:r>
        <w:rPr>
          <w:noProof/>
        </w:rPr>
        <w:fldChar w:fldCharType="separate"/>
      </w:r>
      <w:r>
        <w:rPr>
          <w:noProof/>
        </w:rPr>
        <w:t>2</w:t>
      </w:r>
      <w:r>
        <w:rPr>
          <w:noProof/>
        </w:rPr>
        <w:fldChar w:fldCharType="end"/>
      </w:r>
    </w:p>
    <w:p w:rsidR="00B3535E" w:rsidRDefault="00B3535E">
      <w:pPr>
        <w:pStyle w:val="TOC1"/>
        <w:tabs>
          <w:tab w:val="right" w:leader="dot" w:pos="8630"/>
        </w:tabs>
        <w:rPr>
          <w:rFonts w:asciiTheme="minorHAnsi" w:eastAsiaTheme="minorEastAsia" w:hAnsiTheme="minorHAnsi" w:cstheme="minorBidi"/>
          <w:noProof/>
          <w:sz w:val="22"/>
          <w:szCs w:val="22"/>
        </w:rPr>
      </w:pPr>
      <w:r>
        <w:rPr>
          <w:noProof/>
        </w:rPr>
        <w:t>Index of Figures</w:t>
      </w:r>
      <w:r>
        <w:rPr>
          <w:noProof/>
        </w:rPr>
        <w:tab/>
      </w:r>
      <w:r>
        <w:rPr>
          <w:noProof/>
        </w:rPr>
        <w:fldChar w:fldCharType="begin"/>
      </w:r>
      <w:r>
        <w:rPr>
          <w:noProof/>
        </w:rPr>
        <w:instrText xml:space="preserve"> PAGEREF _Toc347827040 \h </w:instrText>
      </w:r>
      <w:r>
        <w:rPr>
          <w:noProof/>
        </w:rPr>
      </w:r>
      <w:r>
        <w:rPr>
          <w:noProof/>
        </w:rPr>
        <w:fldChar w:fldCharType="separate"/>
      </w:r>
      <w:r>
        <w:rPr>
          <w:noProof/>
        </w:rPr>
        <w:t>2</w:t>
      </w:r>
      <w:r>
        <w:rPr>
          <w:noProof/>
        </w:rPr>
        <w:fldChar w:fldCharType="end"/>
      </w:r>
    </w:p>
    <w:p w:rsidR="00B3535E" w:rsidRDefault="00B3535E">
      <w:pPr>
        <w:pStyle w:val="TOC1"/>
        <w:tabs>
          <w:tab w:val="left" w:pos="480"/>
          <w:tab w:val="right" w:leader="dot" w:pos="8630"/>
        </w:tabs>
        <w:rPr>
          <w:rFonts w:asciiTheme="minorHAnsi" w:eastAsiaTheme="minorEastAsia" w:hAnsiTheme="minorHAnsi" w:cstheme="minorBidi"/>
          <w:noProof/>
          <w:sz w:val="22"/>
          <w:szCs w:val="22"/>
        </w:rPr>
      </w:pPr>
      <w:r w:rsidRPr="00BB345E">
        <w:rPr>
          <w:noProof/>
        </w:rPr>
        <w:t>1</w:t>
      </w:r>
      <w:r>
        <w:rPr>
          <w:rFonts w:asciiTheme="minorHAnsi" w:eastAsiaTheme="minorEastAsia" w:hAnsiTheme="minorHAnsi" w:cstheme="minorBidi"/>
          <w:noProof/>
          <w:sz w:val="22"/>
          <w:szCs w:val="22"/>
        </w:rPr>
        <w:tab/>
      </w:r>
      <w:r>
        <w:rPr>
          <w:noProof/>
        </w:rPr>
        <w:t>Executive Summary</w:t>
      </w:r>
      <w:r>
        <w:rPr>
          <w:noProof/>
        </w:rPr>
        <w:tab/>
      </w:r>
      <w:r>
        <w:rPr>
          <w:noProof/>
        </w:rPr>
        <w:fldChar w:fldCharType="begin"/>
      </w:r>
      <w:r>
        <w:rPr>
          <w:noProof/>
        </w:rPr>
        <w:instrText xml:space="preserve"> PAGEREF _Toc347827041 \h </w:instrText>
      </w:r>
      <w:r>
        <w:rPr>
          <w:noProof/>
        </w:rPr>
      </w:r>
      <w:r>
        <w:rPr>
          <w:noProof/>
        </w:rPr>
        <w:fldChar w:fldCharType="separate"/>
      </w:r>
      <w:r>
        <w:rPr>
          <w:noProof/>
        </w:rPr>
        <w:t>4</w:t>
      </w:r>
      <w:r>
        <w:rPr>
          <w:noProof/>
        </w:rPr>
        <w:fldChar w:fldCharType="end"/>
      </w:r>
    </w:p>
    <w:p w:rsidR="00B3535E" w:rsidRDefault="00B3535E">
      <w:pPr>
        <w:pStyle w:val="TOC1"/>
        <w:tabs>
          <w:tab w:val="left" w:pos="480"/>
          <w:tab w:val="right" w:leader="dot" w:pos="8630"/>
        </w:tabs>
        <w:rPr>
          <w:rFonts w:asciiTheme="minorHAnsi" w:eastAsiaTheme="minorEastAsia" w:hAnsiTheme="minorHAnsi" w:cstheme="minorBidi"/>
          <w:noProof/>
          <w:sz w:val="22"/>
          <w:szCs w:val="22"/>
        </w:rPr>
      </w:pPr>
      <w:r w:rsidRPr="00BB345E">
        <w:rPr>
          <w:noProof/>
        </w:rPr>
        <w:t>2</w:t>
      </w:r>
      <w:r>
        <w:rPr>
          <w:rFonts w:asciiTheme="minorHAnsi" w:eastAsiaTheme="minorEastAsia" w:hAnsiTheme="minorHAnsi" w:cstheme="minorBidi"/>
          <w:noProof/>
          <w:sz w:val="22"/>
          <w:szCs w:val="22"/>
        </w:rPr>
        <w:tab/>
      </w:r>
      <w:r>
        <w:rPr>
          <w:noProof/>
        </w:rPr>
        <w:t>Load Forecast and Resource Adequacy Program Requirements</w:t>
      </w:r>
      <w:r>
        <w:rPr>
          <w:noProof/>
        </w:rPr>
        <w:tab/>
      </w:r>
      <w:r>
        <w:rPr>
          <w:noProof/>
        </w:rPr>
        <w:fldChar w:fldCharType="begin"/>
      </w:r>
      <w:r>
        <w:rPr>
          <w:noProof/>
        </w:rPr>
        <w:instrText xml:space="preserve"> PAGEREF _Toc347827042 \h </w:instrText>
      </w:r>
      <w:r>
        <w:rPr>
          <w:noProof/>
        </w:rPr>
      </w:r>
      <w:r>
        <w:rPr>
          <w:noProof/>
        </w:rPr>
        <w:fldChar w:fldCharType="separate"/>
      </w:r>
      <w:r>
        <w:rPr>
          <w:noProof/>
        </w:rPr>
        <w:t>6</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2.1</w:t>
      </w:r>
      <w:r>
        <w:rPr>
          <w:rFonts w:asciiTheme="minorHAnsi" w:eastAsiaTheme="minorEastAsia" w:hAnsiTheme="minorHAnsi" w:cstheme="minorBidi"/>
          <w:noProof/>
          <w:sz w:val="22"/>
          <w:szCs w:val="22"/>
        </w:rPr>
        <w:tab/>
      </w:r>
      <w:r w:rsidRPr="00BB345E">
        <w:rPr>
          <w:noProof/>
        </w:rPr>
        <w:t>Yearly and Monthly Load Forecast Process</w:t>
      </w:r>
      <w:r>
        <w:rPr>
          <w:noProof/>
        </w:rPr>
        <w:tab/>
      </w:r>
      <w:r>
        <w:rPr>
          <w:noProof/>
        </w:rPr>
        <w:fldChar w:fldCharType="begin"/>
      </w:r>
      <w:r>
        <w:rPr>
          <w:noProof/>
        </w:rPr>
        <w:instrText xml:space="preserve"> PAGEREF _Toc347827043 \h </w:instrText>
      </w:r>
      <w:r>
        <w:rPr>
          <w:noProof/>
        </w:rPr>
      </w:r>
      <w:r>
        <w:rPr>
          <w:noProof/>
        </w:rPr>
        <w:fldChar w:fldCharType="separate"/>
      </w:r>
      <w:r>
        <w:rPr>
          <w:noProof/>
        </w:rPr>
        <w:t>6</w:t>
      </w:r>
      <w:r>
        <w:rPr>
          <w:noProof/>
        </w:rPr>
        <w:fldChar w:fldCharType="end"/>
      </w:r>
    </w:p>
    <w:p w:rsidR="00B3535E" w:rsidRDefault="00B3535E">
      <w:pPr>
        <w:pStyle w:val="TOC3"/>
        <w:tabs>
          <w:tab w:val="left" w:pos="1320"/>
          <w:tab w:val="right" w:leader="dot" w:pos="8630"/>
        </w:tabs>
        <w:rPr>
          <w:rFonts w:asciiTheme="minorHAnsi" w:eastAsiaTheme="minorEastAsia" w:hAnsiTheme="minorHAnsi" w:cstheme="minorBidi"/>
          <w:noProof/>
          <w:sz w:val="22"/>
          <w:szCs w:val="22"/>
        </w:rPr>
      </w:pPr>
      <w:r w:rsidRPr="00BB345E">
        <w:rPr>
          <w:noProof/>
        </w:rPr>
        <w:t>2.1.1</w:t>
      </w:r>
      <w:r>
        <w:rPr>
          <w:rFonts w:asciiTheme="minorHAnsi" w:eastAsiaTheme="minorEastAsia" w:hAnsiTheme="minorHAnsi" w:cstheme="minorBidi"/>
          <w:noProof/>
          <w:sz w:val="22"/>
          <w:szCs w:val="22"/>
        </w:rPr>
        <w:tab/>
      </w:r>
      <w:r>
        <w:rPr>
          <w:noProof/>
        </w:rPr>
        <w:t>Yearly Load Forecast Results</w:t>
      </w:r>
      <w:r>
        <w:rPr>
          <w:noProof/>
        </w:rPr>
        <w:tab/>
      </w:r>
      <w:r>
        <w:rPr>
          <w:noProof/>
        </w:rPr>
        <w:fldChar w:fldCharType="begin"/>
      </w:r>
      <w:r>
        <w:rPr>
          <w:noProof/>
        </w:rPr>
        <w:instrText xml:space="preserve"> PAGEREF _Toc347827044 \h </w:instrText>
      </w:r>
      <w:r>
        <w:rPr>
          <w:noProof/>
        </w:rPr>
      </w:r>
      <w:r>
        <w:rPr>
          <w:noProof/>
        </w:rPr>
        <w:fldChar w:fldCharType="separate"/>
      </w:r>
      <w:r>
        <w:rPr>
          <w:noProof/>
        </w:rPr>
        <w:t>7</w:t>
      </w:r>
      <w:r>
        <w:rPr>
          <w:noProof/>
        </w:rPr>
        <w:fldChar w:fldCharType="end"/>
      </w:r>
    </w:p>
    <w:p w:rsidR="00B3535E" w:rsidRDefault="00B3535E">
      <w:pPr>
        <w:pStyle w:val="TOC3"/>
        <w:tabs>
          <w:tab w:val="left" w:pos="1320"/>
          <w:tab w:val="right" w:leader="dot" w:pos="8630"/>
        </w:tabs>
        <w:rPr>
          <w:rFonts w:asciiTheme="minorHAnsi" w:eastAsiaTheme="minorEastAsia" w:hAnsiTheme="minorHAnsi" w:cstheme="minorBidi"/>
          <w:noProof/>
          <w:sz w:val="22"/>
          <w:szCs w:val="22"/>
        </w:rPr>
      </w:pPr>
      <w:r w:rsidRPr="00BB345E">
        <w:rPr>
          <w:noProof/>
        </w:rPr>
        <w:t>2.1.2</w:t>
      </w:r>
      <w:r>
        <w:rPr>
          <w:rFonts w:asciiTheme="minorHAnsi" w:eastAsiaTheme="minorEastAsia" w:hAnsiTheme="minorHAnsi" w:cstheme="minorBidi"/>
          <w:noProof/>
          <w:sz w:val="22"/>
          <w:szCs w:val="22"/>
        </w:rPr>
        <w:tab/>
      </w:r>
      <w:r>
        <w:rPr>
          <w:noProof/>
        </w:rPr>
        <w:t>Monthly Load Migration Adjustments</w:t>
      </w:r>
      <w:r>
        <w:rPr>
          <w:noProof/>
        </w:rPr>
        <w:tab/>
      </w:r>
      <w:r>
        <w:rPr>
          <w:noProof/>
        </w:rPr>
        <w:fldChar w:fldCharType="begin"/>
      </w:r>
      <w:r>
        <w:rPr>
          <w:noProof/>
        </w:rPr>
        <w:instrText xml:space="preserve"> PAGEREF _Toc347827045 \h </w:instrText>
      </w:r>
      <w:r>
        <w:rPr>
          <w:noProof/>
        </w:rPr>
      </w:r>
      <w:r>
        <w:rPr>
          <w:noProof/>
        </w:rPr>
        <w:fldChar w:fldCharType="separate"/>
      </w:r>
      <w:r>
        <w:rPr>
          <w:noProof/>
        </w:rPr>
        <w:t>8</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2.2</w:t>
      </w:r>
      <w:r>
        <w:rPr>
          <w:rFonts w:asciiTheme="minorHAnsi" w:eastAsiaTheme="minorEastAsia" w:hAnsiTheme="minorHAnsi" w:cstheme="minorBidi"/>
          <w:noProof/>
          <w:sz w:val="22"/>
          <w:szCs w:val="22"/>
        </w:rPr>
        <w:tab/>
      </w:r>
      <w:r w:rsidRPr="00BB345E">
        <w:rPr>
          <w:noProof/>
        </w:rPr>
        <w:t>System RA Requirements - CPUC Jurisdictional LSEs</w:t>
      </w:r>
      <w:r>
        <w:rPr>
          <w:noProof/>
        </w:rPr>
        <w:tab/>
      </w:r>
      <w:r>
        <w:rPr>
          <w:noProof/>
        </w:rPr>
        <w:fldChar w:fldCharType="begin"/>
      </w:r>
      <w:r>
        <w:rPr>
          <w:noProof/>
        </w:rPr>
        <w:instrText xml:space="preserve"> PAGEREF _Toc347827046 \h </w:instrText>
      </w:r>
      <w:r>
        <w:rPr>
          <w:noProof/>
        </w:rPr>
      </w:r>
      <w:r>
        <w:rPr>
          <w:noProof/>
        </w:rPr>
        <w:fldChar w:fldCharType="separate"/>
      </w:r>
      <w:r>
        <w:rPr>
          <w:noProof/>
        </w:rPr>
        <w:t>9</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2.3</w:t>
      </w:r>
      <w:r>
        <w:rPr>
          <w:rFonts w:asciiTheme="minorHAnsi" w:eastAsiaTheme="minorEastAsia" w:hAnsiTheme="minorHAnsi" w:cstheme="minorBidi"/>
          <w:noProof/>
          <w:sz w:val="22"/>
          <w:szCs w:val="22"/>
        </w:rPr>
        <w:tab/>
      </w:r>
      <w:r w:rsidRPr="00BB345E">
        <w:rPr>
          <w:noProof/>
        </w:rPr>
        <w:t>Local RA Program – CPUC Jurisdictional LSEs</w:t>
      </w:r>
      <w:r>
        <w:rPr>
          <w:noProof/>
        </w:rPr>
        <w:tab/>
      </w:r>
      <w:r>
        <w:rPr>
          <w:noProof/>
        </w:rPr>
        <w:fldChar w:fldCharType="begin"/>
      </w:r>
      <w:r>
        <w:rPr>
          <w:noProof/>
        </w:rPr>
        <w:instrText xml:space="preserve"> PAGEREF _Toc347827047 \h </w:instrText>
      </w:r>
      <w:r>
        <w:rPr>
          <w:noProof/>
        </w:rPr>
      </w:r>
      <w:r>
        <w:rPr>
          <w:noProof/>
        </w:rPr>
        <w:fldChar w:fldCharType="separate"/>
      </w:r>
      <w:r>
        <w:rPr>
          <w:noProof/>
        </w:rPr>
        <w:t>10</w:t>
      </w:r>
      <w:r>
        <w:rPr>
          <w:noProof/>
        </w:rPr>
        <w:fldChar w:fldCharType="end"/>
      </w:r>
    </w:p>
    <w:p w:rsidR="00B3535E" w:rsidRDefault="00B3535E">
      <w:pPr>
        <w:pStyle w:val="TOC3"/>
        <w:tabs>
          <w:tab w:val="left" w:pos="1320"/>
          <w:tab w:val="right" w:leader="dot" w:pos="8630"/>
        </w:tabs>
        <w:rPr>
          <w:rFonts w:asciiTheme="minorHAnsi" w:eastAsiaTheme="minorEastAsia" w:hAnsiTheme="minorHAnsi" w:cstheme="minorBidi"/>
          <w:noProof/>
          <w:sz w:val="22"/>
          <w:szCs w:val="22"/>
        </w:rPr>
      </w:pPr>
      <w:r w:rsidRPr="00BB345E">
        <w:rPr>
          <w:noProof/>
        </w:rPr>
        <w:t>2.3.1</w:t>
      </w:r>
      <w:r>
        <w:rPr>
          <w:rFonts w:asciiTheme="minorHAnsi" w:eastAsiaTheme="minorEastAsia" w:hAnsiTheme="minorHAnsi" w:cstheme="minorBidi"/>
          <w:noProof/>
          <w:sz w:val="22"/>
          <w:szCs w:val="22"/>
        </w:rPr>
        <w:tab/>
      </w:r>
      <w:r>
        <w:rPr>
          <w:noProof/>
        </w:rPr>
        <w:t>Year Ahead Local RA Procurement</w:t>
      </w:r>
      <w:r>
        <w:rPr>
          <w:noProof/>
        </w:rPr>
        <w:tab/>
      </w:r>
      <w:r>
        <w:rPr>
          <w:noProof/>
        </w:rPr>
        <w:fldChar w:fldCharType="begin"/>
      </w:r>
      <w:r>
        <w:rPr>
          <w:noProof/>
        </w:rPr>
        <w:instrText xml:space="preserve"> PAGEREF _Toc347827048 \h </w:instrText>
      </w:r>
      <w:r>
        <w:rPr>
          <w:noProof/>
        </w:rPr>
      </w:r>
      <w:r>
        <w:rPr>
          <w:noProof/>
        </w:rPr>
        <w:fldChar w:fldCharType="separate"/>
      </w:r>
      <w:r>
        <w:rPr>
          <w:noProof/>
        </w:rPr>
        <w:t>10</w:t>
      </w:r>
      <w:r>
        <w:rPr>
          <w:noProof/>
        </w:rPr>
        <w:fldChar w:fldCharType="end"/>
      </w:r>
    </w:p>
    <w:p w:rsidR="00B3535E" w:rsidRDefault="00B3535E">
      <w:pPr>
        <w:pStyle w:val="TOC3"/>
        <w:tabs>
          <w:tab w:val="left" w:pos="1320"/>
          <w:tab w:val="right" w:leader="dot" w:pos="8630"/>
        </w:tabs>
        <w:rPr>
          <w:rFonts w:asciiTheme="minorHAnsi" w:eastAsiaTheme="minorEastAsia" w:hAnsiTheme="minorHAnsi" w:cstheme="minorBidi"/>
          <w:noProof/>
          <w:sz w:val="22"/>
          <w:szCs w:val="22"/>
        </w:rPr>
      </w:pPr>
      <w:r w:rsidRPr="00BB345E">
        <w:rPr>
          <w:noProof/>
        </w:rPr>
        <w:t>2.3.2</w:t>
      </w:r>
      <w:r>
        <w:rPr>
          <w:rFonts w:asciiTheme="minorHAnsi" w:eastAsiaTheme="minorEastAsia" w:hAnsiTheme="minorHAnsi" w:cstheme="minorBidi"/>
          <w:noProof/>
          <w:sz w:val="22"/>
          <w:szCs w:val="22"/>
        </w:rPr>
        <w:tab/>
      </w:r>
      <w:r>
        <w:rPr>
          <w:noProof/>
        </w:rPr>
        <w:t>Local RA True-ups</w:t>
      </w:r>
      <w:r>
        <w:rPr>
          <w:noProof/>
        </w:rPr>
        <w:tab/>
      </w:r>
      <w:r>
        <w:rPr>
          <w:noProof/>
        </w:rPr>
        <w:fldChar w:fldCharType="begin"/>
      </w:r>
      <w:r>
        <w:rPr>
          <w:noProof/>
        </w:rPr>
        <w:instrText xml:space="preserve"> PAGEREF _Toc347827049 \h </w:instrText>
      </w:r>
      <w:r>
        <w:rPr>
          <w:noProof/>
        </w:rPr>
      </w:r>
      <w:r>
        <w:rPr>
          <w:noProof/>
        </w:rPr>
        <w:fldChar w:fldCharType="separate"/>
      </w:r>
      <w:r>
        <w:rPr>
          <w:noProof/>
        </w:rPr>
        <w:t>11</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2.4</w:t>
      </w:r>
      <w:r>
        <w:rPr>
          <w:rFonts w:asciiTheme="minorHAnsi" w:eastAsiaTheme="minorEastAsia" w:hAnsiTheme="minorHAnsi" w:cstheme="minorBidi"/>
          <w:noProof/>
          <w:sz w:val="22"/>
          <w:szCs w:val="22"/>
        </w:rPr>
        <w:tab/>
      </w:r>
      <w:r w:rsidRPr="00BB345E">
        <w:rPr>
          <w:noProof/>
        </w:rPr>
        <w:t>Total RA Resources Available to the CAISO</w:t>
      </w:r>
      <w:r>
        <w:rPr>
          <w:noProof/>
        </w:rPr>
        <w:tab/>
      </w:r>
      <w:r>
        <w:rPr>
          <w:noProof/>
        </w:rPr>
        <w:fldChar w:fldCharType="begin"/>
      </w:r>
      <w:r>
        <w:rPr>
          <w:noProof/>
        </w:rPr>
        <w:instrText xml:space="preserve"> PAGEREF _Toc347827050 \h </w:instrText>
      </w:r>
      <w:r>
        <w:rPr>
          <w:noProof/>
        </w:rPr>
      </w:r>
      <w:r>
        <w:rPr>
          <w:noProof/>
        </w:rPr>
        <w:fldChar w:fldCharType="separate"/>
      </w:r>
      <w:r>
        <w:rPr>
          <w:noProof/>
        </w:rPr>
        <w:t>12</w:t>
      </w:r>
      <w:r>
        <w:rPr>
          <w:noProof/>
        </w:rPr>
        <w:fldChar w:fldCharType="end"/>
      </w:r>
    </w:p>
    <w:p w:rsidR="00B3535E" w:rsidRDefault="00B3535E">
      <w:pPr>
        <w:pStyle w:val="TOC1"/>
        <w:tabs>
          <w:tab w:val="left" w:pos="480"/>
          <w:tab w:val="right" w:leader="dot" w:pos="8630"/>
        </w:tabs>
        <w:rPr>
          <w:rFonts w:asciiTheme="minorHAnsi" w:eastAsiaTheme="minorEastAsia" w:hAnsiTheme="minorHAnsi" w:cstheme="minorBidi"/>
          <w:noProof/>
          <w:sz w:val="22"/>
          <w:szCs w:val="22"/>
        </w:rPr>
      </w:pPr>
      <w:r w:rsidRPr="00BB345E">
        <w:rPr>
          <w:noProof/>
        </w:rPr>
        <w:t>3</w:t>
      </w:r>
      <w:r>
        <w:rPr>
          <w:rFonts w:asciiTheme="minorHAnsi" w:eastAsiaTheme="minorEastAsia" w:hAnsiTheme="minorHAnsi" w:cstheme="minorBidi"/>
          <w:noProof/>
          <w:sz w:val="22"/>
          <w:szCs w:val="22"/>
        </w:rPr>
        <w:tab/>
      </w:r>
      <w:r>
        <w:rPr>
          <w:noProof/>
        </w:rPr>
        <w:t>Process for Determining NQC of RA Resources</w:t>
      </w:r>
      <w:r>
        <w:rPr>
          <w:noProof/>
        </w:rPr>
        <w:tab/>
      </w:r>
      <w:r>
        <w:rPr>
          <w:noProof/>
        </w:rPr>
        <w:fldChar w:fldCharType="begin"/>
      </w:r>
      <w:r>
        <w:rPr>
          <w:noProof/>
        </w:rPr>
        <w:instrText xml:space="preserve"> PAGEREF _Toc347827051 \h </w:instrText>
      </w:r>
      <w:r>
        <w:rPr>
          <w:noProof/>
        </w:rPr>
      </w:r>
      <w:r>
        <w:rPr>
          <w:noProof/>
        </w:rPr>
        <w:fldChar w:fldCharType="separate"/>
      </w:r>
      <w:r>
        <w:rPr>
          <w:noProof/>
        </w:rPr>
        <w:t>13</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3.1</w:t>
      </w:r>
      <w:r>
        <w:rPr>
          <w:rFonts w:asciiTheme="minorHAnsi" w:eastAsiaTheme="minorEastAsia" w:hAnsiTheme="minorHAnsi" w:cstheme="minorBidi"/>
          <w:noProof/>
          <w:sz w:val="22"/>
          <w:szCs w:val="22"/>
        </w:rPr>
        <w:tab/>
      </w:r>
      <w:r w:rsidRPr="00BB345E">
        <w:rPr>
          <w:noProof/>
        </w:rPr>
        <w:t>Establishment of Final NQC Values</w:t>
      </w:r>
      <w:r>
        <w:rPr>
          <w:noProof/>
        </w:rPr>
        <w:tab/>
      </w:r>
      <w:r>
        <w:rPr>
          <w:noProof/>
        </w:rPr>
        <w:fldChar w:fldCharType="begin"/>
      </w:r>
      <w:r>
        <w:rPr>
          <w:noProof/>
        </w:rPr>
        <w:instrText xml:space="preserve"> PAGEREF _Toc347827052 \h </w:instrText>
      </w:r>
      <w:r>
        <w:rPr>
          <w:noProof/>
        </w:rPr>
      </w:r>
      <w:r>
        <w:rPr>
          <w:noProof/>
        </w:rPr>
        <w:fldChar w:fldCharType="separate"/>
      </w:r>
      <w:r>
        <w:rPr>
          <w:noProof/>
        </w:rPr>
        <w:t>14</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3.2</w:t>
      </w:r>
      <w:r>
        <w:rPr>
          <w:rFonts w:asciiTheme="minorHAnsi" w:eastAsiaTheme="minorEastAsia" w:hAnsiTheme="minorHAnsi" w:cstheme="minorBidi"/>
          <w:noProof/>
          <w:sz w:val="22"/>
          <w:szCs w:val="22"/>
        </w:rPr>
        <w:tab/>
      </w:r>
      <w:r w:rsidRPr="00BB345E">
        <w:rPr>
          <w:noProof/>
        </w:rPr>
        <w:t>Aggregate NQC Values 2006 through 2011</w:t>
      </w:r>
      <w:r>
        <w:rPr>
          <w:noProof/>
        </w:rPr>
        <w:tab/>
      </w:r>
      <w:r>
        <w:rPr>
          <w:noProof/>
        </w:rPr>
        <w:fldChar w:fldCharType="begin"/>
      </w:r>
      <w:r>
        <w:rPr>
          <w:noProof/>
        </w:rPr>
        <w:instrText xml:space="preserve"> PAGEREF _Toc347827053 \h </w:instrText>
      </w:r>
      <w:r>
        <w:rPr>
          <w:noProof/>
        </w:rPr>
      </w:r>
      <w:r>
        <w:rPr>
          <w:noProof/>
        </w:rPr>
        <w:fldChar w:fldCharType="separate"/>
      </w:r>
      <w:r>
        <w:rPr>
          <w:noProof/>
        </w:rPr>
        <w:t>15</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3.3</w:t>
      </w:r>
      <w:r>
        <w:rPr>
          <w:rFonts w:asciiTheme="minorHAnsi" w:eastAsiaTheme="minorEastAsia" w:hAnsiTheme="minorHAnsi" w:cstheme="minorBidi"/>
          <w:noProof/>
          <w:sz w:val="22"/>
          <w:szCs w:val="22"/>
        </w:rPr>
        <w:tab/>
      </w:r>
      <w:r w:rsidRPr="00BB345E">
        <w:rPr>
          <w:noProof/>
        </w:rPr>
        <w:t>Allocation of Import Capability for RA</w:t>
      </w:r>
      <w:r>
        <w:rPr>
          <w:noProof/>
        </w:rPr>
        <w:tab/>
      </w:r>
      <w:r>
        <w:rPr>
          <w:noProof/>
        </w:rPr>
        <w:fldChar w:fldCharType="begin"/>
      </w:r>
      <w:r>
        <w:rPr>
          <w:noProof/>
        </w:rPr>
        <w:instrText xml:space="preserve"> PAGEREF _Toc347827054 \h </w:instrText>
      </w:r>
      <w:r>
        <w:rPr>
          <w:noProof/>
        </w:rPr>
      </w:r>
      <w:r>
        <w:rPr>
          <w:noProof/>
        </w:rPr>
        <w:fldChar w:fldCharType="separate"/>
      </w:r>
      <w:r>
        <w:rPr>
          <w:noProof/>
        </w:rPr>
        <w:t>15</w:t>
      </w:r>
      <w:r>
        <w:rPr>
          <w:noProof/>
        </w:rPr>
        <w:fldChar w:fldCharType="end"/>
      </w:r>
    </w:p>
    <w:p w:rsidR="00B3535E" w:rsidRDefault="00B3535E">
      <w:pPr>
        <w:pStyle w:val="TOC1"/>
        <w:tabs>
          <w:tab w:val="left" w:pos="480"/>
          <w:tab w:val="right" w:leader="dot" w:pos="8630"/>
        </w:tabs>
        <w:rPr>
          <w:rFonts w:asciiTheme="minorHAnsi" w:eastAsiaTheme="minorEastAsia" w:hAnsiTheme="minorHAnsi" w:cstheme="minorBidi"/>
          <w:noProof/>
          <w:sz w:val="22"/>
          <w:szCs w:val="22"/>
        </w:rPr>
      </w:pPr>
      <w:r w:rsidRPr="00BB345E">
        <w:rPr>
          <w:noProof/>
        </w:rPr>
        <w:t>4</w:t>
      </w:r>
      <w:r>
        <w:rPr>
          <w:rFonts w:asciiTheme="minorHAnsi" w:eastAsiaTheme="minorEastAsia" w:hAnsiTheme="minorHAnsi" w:cstheme="minorBidi"/>
          <w:noProof/>
          <w:sz w:val="22"/>
          <w:szCs w:val="22"/>
        </w:rPr>
        <w:tab/>
      </w:r>
      <w:r>
        <w:rPr>
          <w:noProof/>
        </w:rPr>
        <w:t>Commitment, Dispatch, and Pricing of RA Resources</w:t>
      </w:r>
      <w:r>
        <w:rPr>
          <w:noProof/>
        </w:rPr>
        <w:tab/>
      </w:r>
      <w:r>
        <w:rPr>
          <w:noProof/>
        </w:rPr>
        <w:fldChar w:fldCharType="begin"/>
      </w:r>
      <w:r>
        <w:rPr>
          <w:noProof/>
        </w:rPr>
        <w:instrText xml:space="preserve"> PAGEREF _Toc347827055 \h </w:instrText>
      </w:r>
      <w:r>
        <w:rPr>
          <w:noProof/>
        </w:rPr>
      </w:r>
      <w:r>
        <w:rPr>
          <w:noProof/>
        </w:rPr>
        <w:fldChar w:fldCharType="separate"/>
      </w:r>
      <w:r>
        <w:rPr>
          <w:noProof/>
        </w:rPr>
        <w:t>16</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4.1</w:t>
      </w:r>
      <w:r>
        <w:rPr>
          <w:rFonts w:asciiTheme="minorHAnsi" w:eastAsiaTheme="minorEastAsia" w:hAnsiTheme="minorHAnsi" w:cstheme="minorBidi"/>
          <w:noProof/>
          <w:sz w:val="22"/>
          <w:szCs w:val="22"/>
        </w:rPr>
        <w:tab/>
      </w:r>
      <w:r w:rsidRPr="00BB345E">
        <w:rPr>
          <w:noProof/>
        </w:rPr>
        <w:t>Trends in Exceptional Dispatch by MWh volume</w:t>
      </w:r>
      <w:r>
        <w:rPr>
          <w:noProof/>
        </w:rPr>
        <w:tab/>
      </w:r>
      <w:r>
        <w:rPr>
          <w:noProof/>
        </w:rPr>
        <w:fldChar w:fldCharType="begin"/>
      </w:r>
      <w:r>
        <w:rPr>
          <w:noProof/>
        </w:rPr>
        <w:instrText xml:space="preserve"> PAGEREF _Toc347827056 \h </w:instrText>
      </w:r>
      <w:r>
        <w:rPr>
          <w:noProof/>
        </w:rPr>
      </w:r>
      <w:r>
        <w:rPr>
          <w:noProof/>
        </w:rPr>
        <w:fldChar w:fldCharType="separate"/>
      </w:r>
      <w:r>
        <w:rPr>
          <w:noProof/>
        </w:rPr>
        <w:t>17</w:t>
      </w:r>
      <w:r>
        <w:rPr>
          <w:noProof/>
        </w:rPr>
        <w:fldChar w:fldCharType="end"/>
      </w:r>
    </w:p>
    <w:p w:rsidR="00B3535E" w:rsidRDefault="00B3535E">
      <w:pPr>
        <w:pStyle w:val="TOC3"/>
        <w:tabs>
          <w:tab w:val="left" w:pos="1320"/>
          <w:tab w:val="right" w:leader="dot" w:pos="8630"/>
        </w:tabs>
        <w:rPr>
          <w:rFonts w:asciiTheme="minorHAnsi" w:eastAsiaTheme="minorEastAsia" w:hAnsiTheme="minorHAnsi" w:cstheme="minorBidi"/>
          <w:noProof/>
          <w:sz w:val="22"/>
          <w:szCs w:val="22"/>
        </w:rPr>
      </w:pPr>
      <w:r w:rsidRPr="00BB345E">
        <w:rPr>
          <w:noProof/>
        </w:rPr>
        <w:t>4.1.1</w:t>
      </w:r>
      <w:r>
        <w:rPr>
          <w:rFonts w:asciiTheme="minorHAnsi" w:eastAsiaTheme="minorEastAsia" w:hAnsiTheme="minorHAnsi" w:cstheme="minorBidi"/>
          <w:noProof/>
          <w:sz w:val="22"/>
          <w:szCs w:val="22"/>
        </w:rPr>
        <w:tab/>
      </w:r>
      <w:r>
        <w:rPr>
          <w:noProof/>
        </w:rPr>
        <w:t>Trends in ExD by Local Area</w:t>
      </w:r>
      <w:r>
        <w:rPr>
          <w:noProof/>
        </w:rPr>
        <w:tab/>
      </w:r>
      <w:r>
        <w:rPr>
          <w:noProof/>
        </w:rPr>
        <w:fldChar w:fldCharType="begin"/>
      </w:r>
      <w:r>
        <w:rPr>
          <w:noProof/>
        </w:rPr>
        <w:instrText xml:space="preserve"> PAGEREF _Toc347827057 \h </w:instrText>
      </w:r>
      <w:r>
        <w:rPr>
          <w:noProof/>
        </w:rPr>
      </w:r>
      <w:r>
        <w:rPr>
          <w:noProof/>
        </w:rPr>
        <w:fldChar w:fldCharType="separate"/>
      </w:r>
      <w:r>
        <w:rPr>
          <w:noProof/>
        </w:rPr>
        <w:t>18</w:t>
      </w:r>
      <w:r>
        <w:rPr>
          <w:noProof/>
        </w:rPr>
        <w:fldChar w:fldCharType="end"/>
      </w:r>
    </w:p>
    <w:p w:rsidR="00B3535E" w:rsidRDefault="00B3535E">
      <w:pPr>
        <w:pStyle w:val="TOC3"/>
        <w:tabs>
          <w:tab w:val="left" w:pos="1320"/>
          <w:tab w:val="right" w:leader="dot" w:pos="8630"/>
        </w:tabs>
        <w:rPr>
          <w:rFonts w:asciiTheme="minorHAnsi" w:eastAsiaTheme="minorEastAsia" w:hAnsiTheme="minorHAnsi" w:cstheme="minorBidi"/>
          <w:noProof/>
          <w:sz w:val="22"/>
          <w:szCs w:val="22"/>
        </w:rPr>
      </w:pPr>
      <w:r w:rsidRPr="00BB345E">
        <w:rPr>
          <w:noProof/>
        </w:rPr>
        <w:t>4.1.2</w:t>
      </w:r>
      <w:r>
        <w:rPr>
          <w:rFonts w:asciiTheme="minorHAnsi" w:eastAsiaTheme="minorEastAsia" w:hAnsiTheme="minorHAnsi" w:cstheme="minorBidi"/>
          <w:noProof/>
          <w:sz w:val="22"/>
          <w:szCs w:val="22"/>
        </w:rPr>
        <w:tab/>
      </w:r>
      <w:r>
        <w:rPr>
          <w:noProof/>
        </w:rPr>
        <w:t>Trends in ExD by Reason Category</w:t>
      </w:r>
      <w:r>
        <w:rPr>
          <w:noProof/>
        </w:rPr>
        <w:tab/>
      </w:r>
      <w:r>
        <w:rPr>
          <w:noProof/>
        </w:rPr>
        <w:fldChar w:fldCharType="begin"/>
      </w:r>
      <w:r>
        <w:rPr>
          <w:noProof/>
        </w:rPr>
        <w:instrText xml:space="preserve"> PAGEREF _Toc347827058 \h </w:instrText>
      </w:r>
      <w:r>
        <w:rPr>
          <w:noProof/>
        </w:rPr>
      </w:r>
      <w:r>
        <w:rPr>
          <w:noProof/>
        </w:rPr>
        <w:fldChar w:fldCharType="separate"/>
      </w:r>
      <w:r>
        <w:rPr>
          <w:noProof/>
        </w:rPr>
        <w:t>19</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4.2</w:t>
      </w:r>
      <w:r>
        <w:rPr>
          <w:rFonts w:asciiTheme="minorHAnsi" w:eastAsiaTheme="minorEastAsia" w:hAnsiTheme="minorHAnsi" w:cstheme="minorBidi"/>
          <w:noProof/>
          <w:sz w:val="22"/>
          <w:szCs w:val="22"/>
        </w:rPr>
        <w:tab/>
      </w:r>
      <w:r w:rsidRPr="00BB345E">
        <w:rPr>
          <w:noProof/>
        </w:rPr>
        <w:t>Reliability Must Run Designations</w:t>
      </w:r>
      <w:r>
        <w:rPr>
          <w:noProof/>
        </w:rPr>
        <w:tab/>
      </w:r>
      <w:r>
        <w:rPr>
          <w:noProof/>
        </w:rPr>
        <w:fldChar w:fldCharType="begin"/>
      </w:r>
      <w:r>
        <w:rPr>
          <w:noProof/>
        </w:rPr>
        <w:instrText xml:space="preserve"> PAGEREF _Toc347827059 \h </w:instrText>
      </w:r>
      <w:r>
        <w:rPr>
          <w:noProof/>
        </w:rPr>
      </w:r>
      <w:r>
        <w:rPr>
          <w:noProof/>
        </w:rPr>
        <w:fldChar w:fldCharType="separate"/>
      </w:r>
      <w:r>
        <w:rPr>
          <w:noProof/>
        </w:rPr>
        <w:t>20</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4.3</w:t>
      </w:r>
      <w:r>
        <w:rPr>
          <w:rFonts w:asciiTheme="minorHAnsi" w:eastAsiaTheme="minorEastAsia" w:hAnsiTheme="minorHAnsi" w:cstheme="minorBidi"/>
          <w:noProof/>
          <w:sz w:val="22"/>
          <w:szCs w:val="22"/>
        </w:rPr>
        <w:tab/>
      </w:r>
      <w:r w:rsidRPr="00BB345E">
        <w:rPr>
          <w:noProof/>
        </w:rPr>
        <w:t>RA Contract Prices 2010-2012</w:t>
      </w:r>
      <w:r>
        <w:rPr>
          <w:noProof/>
        </w:rPr>
        <w:tab/>
      </w:r>
      <w:r>
        <w:rPr>
          <w:noProof/>
        </w:rPr>
        <w:fldChar w:fldCharType="begin"/>
      </w:r>
      <w:r>
        <w:rPr>
          <w:noProof/>
        </w:rPr>
        <w:instrText xml:space="preserve"> PAGEREF _Toc347827060 \h </w:instrText>
      </w:r>
      <w:r>
        <w:rPr>
          <w:noProof/>
        </w:rPr>
      </w:r>
      <w:r>
        <w:rPr>
          <w:noProof/>
        </w:rPr>
        <w:fldChar w:fldCharType="separate"/>
      </w:r>
      <w:r>
        <w:rPr>
          <w:noProof/>
        </w:rPr>
        <w:t>21</w:t>
      </w:r>
      <w:r>
        <w:rPr>
          <w:noProof/>
        </w:rPr>
        <w:fldChar w:fldCharType="end"/>
      </w:r>
    </w:p>
    <w:p w:rsidR="00B3535E" w:rsidRDefault="00B3535E">
      <w:pPr>
        <w:pStyle w:val="TOC1"/>
        <w:tabs>
          <w:tab w:val="left" w:pos="480"/>
          <w:tab w:val="right" w:leader="dot" w:pos="8630"/>
        </w:tabs>
        <w:rPr>
          <w:rFonts w:asciiTheme="minorHAnsi" w:eastAsiaTheme="minorEastAsia" w:hAnsiTheme="minorHAnsi" w:cstheme="minorBidi"/>
          <w:noProof/>
          <w:sz w:val="22"/>
          <w:szCs w:val="22"/>
        </w:rPr>
      </w:pPr>
      <w:r w:rsidRPr="00BB345E">
        <w:rPr>
          <w:noProof/>
        </w:rPr>
        <w:t>5</w:t>
      </w:r>
      <w:r>
        <w:rPr>
          <w:rFonts w:asciiTheme="minorHAnsi" w:eastAsiaTheme="minorEastAsia" w:hAnsiTheme="minorHAnsi" w:cstheme="minorBidi"/>
          <w:noProof/>
          <w:sz w:val="22"/>
          <w:szCs w:val="22"/>
        </w:rPr>
        <w:tab/>
      </w:r>
      <w:r>
        <w:rPr>
          <w:noProof/>
        </w:rPr>
        <w:t>Compliance with RAR</w:t>
      </w:r>
      <w:r>
        <w:rPr>
          <w:noProof/>
        </w:rPr>
        <w:tab/>
      </w:r>
      <w:r>
        <w:rPr>
          <w:noProof/>
        </w:rPr>
        <w:fldChar w:fldCharType="begin"/>
      </w:r>
      <w:r>
        <w:rPr>
          <w:noProof/>
        </w:rPr>
        <w:instrText xml:space="preserve"> PAGEREF _Toc347827061 \h </w:instrText>
      </w:r>
      <w:r>
        <w:rPr>
          <w:noProof/>
        </w:rPr>
      </w:r>
      <w:r>
        <w:rPr>
          <w:noProof/>
        </w:rPr>
        <w:fldChar w:fldCharType="separate"/>
      </w:r>
      <w:r>
        <w:rPr>
          <w:noProof/>
        </w:rPr>
        <w:t>26</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5.1</w:t>
      </w:r>
      <w:r>
        <w:rPr>
          <w:rFonts w:asciiTheme="minorHAnsi" w:eastAsiaTheme="minorEastAsia" w:hAnsiTheme="minorHAnsi" w:cstheme="minorBidi"/>
          <w:noProof/>
          <w:sz w:val="22"/>
          <w:szCs w:val="22"/>
        </w:rPr>
        <w:tab/>
      </w:r>
      <w:r w:rsidRPr="00BB345E">
        <w:rPr>
          <w:noProof/>
        </w:rPr>
        <w:t>Overview of the RA Filing Process</w:t>
      </w:r>
      <w:r>
        <w:rPr>
          <w:noProof/>
        </w:rPr>
        <w:tab/>
      </w:r>
      <w:r>
        <w:rPr>
          <w:noProof/>
        </w:rPr>
        <w:fldChar w:fldCharType="begin"/>
      </w:r>
      <w:r>
        <w:rPr>
          <w:noProof/>
        </w:rPr>
        <w:instrText xml:space="preserve"> PAGEREF _Toc347827062 \h </w:instrText>
      </w:r>
      <w:r>
        <w:rPr>
          <w:noProof/>
        </w:rPr>
      </w:r>
      <w:r>
        <w:rPr>
          <w:noProof/>
        </w:rPr>
        <w:fldChar w:fldCharType="separate"/>
      </w:r>
      <w:r>
        <w:rPr>
          <w:noProof/>
        </w:rPr>
        <w:t>26</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5.2</w:t>
      </w:r>
      <w:r>
        <w:rPr>
          <w:rFonts w:asciiTheme="minorHAnsi" w:eastAsiaTheme="minorEastAsia" w:hAnsiTheme="minorHAnsi" w:cstheme="minorBidi"/>
          <w:noProof/>
          <w:sz w:val="22"/>
          <w:szCs w:val="22"/>
        </w:rPr>
        <w:tab/>
      </w:r>
      <w:r w:rsidRPr="00BB345E">
        <w:rPr>
          <w:noProof/>
        </w:rPr>
        <w:t>Working with Stakeholders to Improve the Compliance Review Process</w:t>
      </w:r>
      <w:r>
        <w:rPr>
          <w:noProof/>
        </w:rPr>
        <w:tab/>
      </w:r>
      <w:r>
        <w:rPr>
          <w:noProof/>
        </w:rPr>
        <w:fldChar w:fldCharType="begin"/>
      </w:r>
      <w:r>
        <w:rPr>
          <w:noProof/>
        </w:rPr>
        <w:instrText xml:space="preserve"> PAGEREF _Toc347827063 \h </w:instrText>
      </w:r>
      <w:r>
        <w:rPr>
          <w:noProof/>
        </w:rPr>
      </w:r>
      <w:r>
        <w:rPr>
          <w:noProof/>
        </w:rPr>
        <w:fldChar w:fldCharType="separate"/>
      </w:r>
      <w:r>
        <w:rPr>
          <w:noProof/>
        </w:rPr>
        <w:t>26</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5.3</w:t>
      </w:r>
      <w:r>
        <w:rPr>
          <w:rFonts w:asciiTheme="minorHAnsi" w:eastAsiaTheme="minorEastAsia" w:hAnsiTheme="minorHAnsi" w:cstheme="minorBidi"/>
          <w:noProof/>
          <w:sz w:val="22"/>
          <w:szCs w:val="22"/>
        </w:rPr>
        <w:tab/>
      </w:r>
      <w:r w:rsidRPr="00BB345E">
        <w:rPr>
          <w:noProof/>
        </w:rPr>
        <w:t>Enforcement and Compliance</w:t>
      </w:r>
      <w:r>
        <w:rPr>
          <w:noProof/>
        </w:rPr>
        <w:tab/>
      </w:r>
      <w:r>
        <w:rPr>
          <w:noProof/>
        </w:rPr>
        <w:fldChar w:fldCharType="begin"/>
      </w:r>
      <w:r>
        <w:rPr>
          <w:noProof/>
        </w:rPr>
        <w:instrText xml:space="preserve"> PAGEREF _Toc347827064 \h </w:instrText>
      </w:r>
      <w:r>
        <w:rPr>
          <w:noProof/>
        </w:rPr>
      </w:r>
      <w:r>
        <w:rPr>
          <w:noProof/>
        </w:rPr>
        <w:fldChar w:fldCharType="separate"/>
      </w:r>
      <w:r>
        <w:rPr>
          <w:noProof/>
        </w:rPr>
        <w:t>27</w:t>
      </w:r>
      <w:r>
        <w:rPr>
          <w:noProof/>
        </w:rPr>
        <w:fldChar w:fldCharType="end"/>
      </w:r>
    </w:p>
    <w:p w:rsidR="00B3535E" w:rsidRDefault="00B3535E">
      <w:pPr>
        <w:pStyle w:val="TOC3"/>
        <w:tabs>
          <w:tab w:val="left" w:pos="1320"/>
          <w:tab w:val="right" w:leader="dot" w:pos="8630"/>
        </w:tabs>
        <w:rPr>
          <w:rFonts w:asciiTheme="minorHAnsi" w:eastAsiaTheme="minorEastAsia" w:hAnsiTheme="minorHAnsi" w:cstheme="minorBidi"/>
          <w:noProof/>
          <w:sz w:val="22"/>
          <w:szCs w:val="22"/>
        </w:rPr>
      </w:pPr>
      <w:r w:rsidRPr="00BB345E">
        <w:rPr>
          <w:noProof/>
        </w:rPr>
        <w:t>5.3.1</w:t>
      </w:r>
      <w:r>
        <w:rPr>
          <w:rFonts w:asciiTheme="minorHAnsi" w:eastAsiaTheme="minorEastAsia" w:hAnsiTheme="minorHAnsi" w:cstheme="minorBidi"/>
          <w:noProof/>
          <w:sz w:val="22"/>
          <w:szCs w:val="22"/>
        </w:rPr>
        <w:tab/>
      </w:r>
      <w:r>
        <w:rPr>
          <w:noProof/>
        </w:rPr>
        <w:t>Enforcement actions taken 2006-2011 compliance years</w:t>
      </w:r>
      <w:r>
        <w:rPr>
          <w:noProof/>
        </w:rPr>
        <w:tab/>
      </w:r>
      <w:r>
        <w:rPr>
          <w:noProof/>
        </w:rPr>
        <w:fldChar w:fldCharType="begin"/>
      </w:r>
      <w:r>
        <w:rPr>
          <w:noProof/>
        </w:rPr>
        <w:instrText xml:space="preserve"> PAGEREF _Toc347827065 \h </w:instrText>
      </w:r>
      <w:r>
        <w:rPr>
          <w:noProof/>
        </w:rPr>
      </w:r>
      <w:r>
        <w:rPr>
          <w:noProof/>
        </w:rPr>
        <w:fldChar w:fldCharType="separate"/>
      </w:r>
      <w:r>
        <w:rPr>
          <w:noProof/>
        </w:rPr>
        <w:t>28</w:t>
      </w:r>
      <w:r>
        <w:rPr>
          <w:noProof/>
        </w:rPr>
        <w:fldChar w:fldCharType="end"/>
      </w:r>
    </w:p>
    <w:p w:rsidR="00B3535E" w:rsidRDefault="00B3535E">
      <w:pPr>
        <w:pStyle w:val="TOC1"/>
        <w:tabs>
          <w:tab w:val="left" w:pos="480"/>
          <w:tab w:val="right" w:leader="dot" w:pos="8630"/>
        </w:tabs>
        <w:rPr>
          <w:rFonts w:asciiTheme="minorHAnsi" w:eastAsiaTheme="minorEastAsia" w:hAnsiTheme="minorHAnsi" w:cstheme="minorBidi"/>
          <w:noProof/>
          <w:sz w:val="22"/>
          <w:szCs w:val="22"/>
        </w:rPr>
      </w:pPr>
      <w:r w:rsidRPr="00BB345E">
        <w:rPr>
          <w:noProof/>
        </w:rPr>
        <w:t>6</w:t>
      </w:r>
      <w:r>
        <w:rPr>
          <w:rFonts w:asciiTheme="minorHAnsi" w:eastAsiaTheme="minorEastAsia" w:hAnsiTheme="minorHAnsi" w:cstheme="minorBidi"/>
          <w:noProof/>
          <w:sz w:val="22"/>
          <w:szCs w:val="22"/>
        </w:rPr>
        <w:tab/>
      </w:r>
      <w:r>
        <w:rPr>
          <w:noProof/>
        </w:rPr>
        <w:t>Generator Performance and Availability</w:t>
      </w:r>
      <w:r>
        <w:rPr>
          <w:noProof/>
        </w:rPr>
        <w:tab/>
      </w:r>
      <w:r>
        <w:rPr>
          <w:noProof/>
        </w:rPr>
        <w:fldChar w:fldCharType="begin"/>
      </w:r>
      <w:r>
        <w:rPr>
          <w:noProof/>
        </w:rPr>
        <w:instrText xml:space="preserve"> PAGEREF _Toc347827066 \h </w:instrText>
      </w:r>
      <w:r>
        <w:rPr>
          <w:noProof/>
        </w:rPr>
      </w:r>
      <w:r>
        <w:rPr>
          <w:noProof/>
        </w:rPr>
        <w:fldChar w:fldCharType="separate"/>
      </w:r>
      <w:r>
        <w:rPr>
          <w:noProof/>
        </w:rPr>
        <w:t>29</w:t>
      </w:r>
      <w:r>
        <w:rPr>
          <w:noProof/>
        </w:rPr>
        <w:fldChar w:fldCharType="end"/>
      </w:r>
    </w:p>
    <w:p w:rsidR="00B3535E" w:rsidRDefault="00B3535E">
      <w:pPr>
        <w:pStyle w:val="TOC2"/>
        <w:tabs>
          <w:tab w:val="left" w:pos="880"/>
          <w:tab w:val="right" w:leader="dot" w:pos="8630"/>
        </w:tabs>
        <w:rPr>
          <w:rFonts w:asciiTheme="minorHAnsi" w:eastAsiaTheme="minorEastAsia" w:hAnsiTheme="minorHAnsi" w:cstheme="minorBidi"/>
          <w:noProof/>
          <w:sz w:val="22"/>
          <w:szCs w:val="22"/>
        </w:rPr>
      </w:pPr>
      <w:r w:rsidRPr="00BB345E">
        <w:rPr>
          <w:noProof/>
        </w:rPr>
        <w:t>6.1</w:t>
      </w:r>
      <w:r>
        <w:rPr>
          <w:rFonts w:asciiTheme="minorHAnsi" w:eastAsiaTheme="minorEastAsia" w:hAnsiTheme="minorHAnsi" w:cstheme="minorBidi"/>
          <w:noProof/>
          <w:sz w:val="22"/>
          <w:szCs w:val="22"/>
        </w:rPr>
        <w:tab/>
      </w:r>
      <w:r w:rsidRPr="00BB345E">
        <w:rPr>
          <w:noProof/>
        </w:rPr>
        <w:t>Performance and Availability for RA Resources in CAISO</w:t>
      </w:r>
      <w:r>
        <w:rPr>
          <w:noProof/>
        </w:rPr>
        <w:tab/>
      </w:r>
      <w:r>
        <w:rPr>
          <w:noProof/>
        </w:rPr>
        <w:fldChar w:fldCharType="begin"/>
      </w:r>
      <w:r>
        <w:rPr>
          <w:noProof/>
        </w:rPr>
        <w:instrText xml:space="preserve"> PAGEREF _Toc347827067 \h </w:instrText>
      </w:r>
      <w:r>
        <w:rPr>
          <w:noProof/>
        </w:rPr>
      </w:r>
      <w:r>
        <w:rPr>
          <w:noProof/>
        </w:rPr>
        <w:fldChar w:fldCharType="separate"/>
      </w:r>
      <w:r>
        <w:rPr>
          <w:noProof/>
        </w:rPr>
        <w:t>29</w:t>
      </w:r>
      <w:r>
        <w:rPr>
          <w:noProof/>
        </w:rPr>
        <w:fldChar w:fldCharType="end"/>
      </w:r>
    </w:p>
    <w:p w:rsidR="00B3535E" w:rsidRDefault="00B3535E">
      <w:pPr>
        <w:pStyle w:val="TOC1"/>
        <w:tabs>
          <w:tab w:val="left" w:pos="480"/>
          <w:tab w:val="right" w:leader="dot" w:pos="8630"/>
        </w:tabs>
        <w:rPr>
          <w:rFonts w:asciiTheme="minorHAnsi" w:eastAsiaTheme="minorEastAsia" w:hAnsiTheme="minorHAnsi" w:cstheme="minorBidi"/>
          <w:noProof/>
          <w:sz w:val="22"/>
          <w:szCs w:val="22"/>
        </w:rPr>
      </w:pPr>
      <w:r w:rsidRPr="00BB345E">
        <w:rPr>
          <w:noProof/>
        </w:rPr>
        <w:t>7</w:t>
      </w:r>
      <w:r>
        <w:rPr>
          <w:rFonts w:asciiTheme="minorHAnsi" w:eastAsiaTheme="minorEastAsia" w:hAnsiTheme="minorHAnsi" w:cstheme="minorBidi"/>
          <w:noProof/>
          <w:sz w:val="22"/>
          <w:szCs w:val="22"/>
        </w:rPr>
        <w:tab/>
      </w:r>
      <w:r>
        <w:rPr>
          <w:noProof/>
        </w:rPr>
        <w:t>Changes to the RA Program for 2011</w:t>
      </w:r>
      <w:r>
        <w:rPr>
          <w:noProof/>
        </w:rPr>
        <w:tab/>
      </w:r>
      <w:r>
        <w:rPr>
          <w:noProof/>
        </w:rPr>
        <w:fldChar w:fldCharType="begin"/>
      </w:r>
      <w:r>
        <w:rPr>
          <w:noProof/>
        </w:rPr>
        <w:instrText xml:space="preserve"> PAGEREF _Toc347827068 \h </w:instrText>
      </w:r>
      <w:r>
        <w:rPr>
          <w:noProof/>
        </w:rPr>
      </w:r>
      <w:r>
        <w:rPr>
          <w:noProof/>
        </w:rPr>
        <w:fldChar w:fldCharType="separate"/>
      </w:r>
      <w:r>
        <w:rPr>
          <w:noProof/>
        </w:rPr>
        <w:t>31</w:t>
      </w:r>
      <w:r>
        <w:rPr>
          <w:noProof/>
        </w:rPr>
        <w:fldChar w:fldCharType="end"/>
      </w:r>
    </w:p>
    <w:p w:rsidR="00B3535E" w:rsidRDefault="00B3535E">
      <w:pPr>
        <w:pStyle w:val="TOC1"/>
        <w:tabs>
          <w:tab w:val="left" w:pos="480"/>
          <w:tab w:val="right" w:leader="dot" w:pos="8630"/>
        </w:tabs>
        <w:rPr>
          <w:rFonts w:asciiTheme="minorHAnsi" w:eastAsiaTheme="minorEastAsia" w:hAnsiTheme="minorHAnsi" w:cstheme="minorBidi"/>
          <w:noProof/>
          <w:sz w:val="22"/>
          <w:szCs w:val="22"/>
        </w:rPr>
      </w:pPr>
      <w:r w:rsidRPr="00BB345E">
        <w:rPr>
          <w:noProof/>
        </w:rPr>
        <w:t>8</w:t>
      </w:r>
      <w:r>
        <w:rPr>
          <w:rFonts w:asciiTheme="minorHAnsi" w:eastAsiaTheme="minorEastAsia" w:hAnsiTheme="minorHAnsi" w:cstheme="minorBidi"/>
          <w:noProof/>
          <w:sz w:val="22"/>
          <w:szCs w:val="22"/>
        </w:rPr>
        <w:tab/>
      </w:r>
      <w:r>
        <w:rPr>
          <w:noProof/>
        </w:rPr>
        <w:t xml:space="preserve">Appendix 1 - </w:t>
      </w:r>
      <w:r w:rsidRPr="00BB345E">
        <w:rPr>
          <w:noProof/>
        </w:rPr>
        <w:t>Total CAISO LSE Procurement as Percentage of Total Obligation</w:t>
      </w:r>
      <w:r>
        <w:rPr>
          <w:noProof/>
        </w:rPr>
        <w:tab/>
      </w:r>
      <w:r>
        <w:rPr>
          <w:noProof/>
        </w:rPr>
        <w:fldChar w:fldCharType="begin"/>
      </w:r>
      <w:r>
        <w:rPr>
          <w:noProof/>
        </w:rPr>
        <w:instrText xml:space="preserve"> PAGEREF _Toc347827069 \h </w:instrText>
      </w:r>
      <w:r>
        <w:rPr>
          <w:noProof/>
        </w:rPr>
      </w:r>
      <w:r>
        <w:rPr>
          <w:noProof/>
        </w:rPr>
        <w:fldChar w:fldCharType="separate"/>
      </w:r>
      <w:r>
        <w:rPr>
          <w:noProof/>
        </w:rPr>
        <w:t>32</w:t>
      </w:r>
      <w:r>
        <w:rPr>
          <w:noProof/>
        </w:rPr>
        <w:fldChar w:fldCharType="end"/>
      </w:r>
    </w:p>
    <w:p w:rsidR="00B3535E" w:rsidRDefault="00B3535E">
      <w:pPr>
        <w:pStyle w:val="TOC1"/>
        <w:tabs>
          <w:tab w:val="left" w:pos="480"/>
          <w:tab w:val="right" w:leader="dot" w:pos="8630"/>
        </w:tabs>
        <w:rPr>
          <w:rFonts w:asciiTheme="minorHAnsi" w:eastAsiaTheme="minorEastAsia" w:hAnsiTheme="minorHAnsi" w:cstheme="minorBidi"/>
          <w:noProof/>
          <w:sz w:val="22"/>
          <w:szCs w:val="22"/>
        </w:rPr>
      </w:pPr>
      <w:r w:rsidRPr="00BB345E">
        <w:rPr>
          <w:noProof/>
        </w:rPr>
        <w:t>9</w:t>
      </w:r>
      <w:r>
        <w:rPr>
          <w:rFonts w:asciiTheme="minorHAnsi" w:eastAsiaTheme="minorEastAsia" w:hAnsiTheme="minorHAnsi" w:cstheme="minorBidi"/>
          <w:noProof/>
          <w:sz w:val="22"/>
          <w:szCs w:val="22"/>
        </w:rPr>
        <w:tab/>
      </w:r>
      <w:r>
        <w:rPr>
          <w:noProof/>
        </w:rPr>
        <w:t>Appendix 2</w:t>
      </w:r>
      <w:r>
        <w:rPr>
          <w:noProof/>
        </w:rPr>
        <w:tab/>
      </w:r>
      <w:r>
        <w:rPr>
          <w:noProof/>
        </w:rPr>
        <w:fldChar w:fldCharType="begin"/>
      </w:r>
      <w:r>
        <w:rPr>
          <w:noProof/>
        </w:rPr>
        <w:instrText xml:space="preserve"> PAGEREF _Toc347827070 \h </w:instrText>
      </w:r>
      <w:r>
        <w:rPr>
          <w:noProof/>
        </w:rPr>
      </w:r>
      <w:r>
        <w:rPr>
          <w:noProof/>
        </w:rPr>
        <w:fldChar w:fldCharType="separate"/>
      </w:r>
      <w:r>
        <w:rPr>
          <w:noProof/>
        </w:rPr>
        <w:t>33</w:t>
      </w:r>
      <w:r>
        <w:rPr>
          <w:noProof/>
        </w:rPr>
        <w:fldChar w:fldCharType="end"/>
      </w:r>
    </w:p>
    <w:p w:rsidR="00AE7D50" w:rsidRPr="00AD151D" w:rsidRDefault="00AE7D50">
      <w:pPr>
        <w:jc w:val="center"/>
        <w:rPr>
          <w:b/>
        </w:rPr>
      </w:pPr>
      <w:r w:rsidRPr="00AD151D">
        <w:rPr>
          <w:b/>
        </w:rPr>
        <w:fldChar w:fldCharType="end"/>
      </w:r>
    </w:p>
    <w:p w:rsidR="00AE7D50" w:rsidRPr="00AD151D" w:rsidRDefault="00AE7D50">
      <w:pPr>
        <w:pStyle w:val="Heading1"/>
        <w:numPr>
          <w:ilvl w:val="0"/>
          <w:numId w:val="0"/>
        </w:numPr>
        <w:spacing w:before="0"/>
      </w:pPr>
      <w:bookmarkStart w:id="3" w:name="_GoBack"/>
      <w:bookmarkEnd w:id="3"/>
      <w:r w:rsidRPr="00AD151D">
        <w:br w:type="page"/>
      </w:r>
      <w:bookmarkStart w:id="4" w:name="_Toc347827039"/>
      <w:r w:rsidRPr="00AD151D">
        <w:lastRenderedPageBreak/>
        <w:t>Index of Tables</w:t>
      </w:r>
      <w:bookmarkEnd w:id="4"/>
    </w:p>
    <w:p w:rsidR="00B3535E" w:rsidRDefault="00AE7D50">
      <w:pPr>
        <w:pStyle w:val="TableofFigures"/>
        <w:tabs>
          <w:tab w:val="right" w:leader="dot" w:pos="8630"/>
        </w:tabs>
        <w:rPr>
          <w:rFonts w:asciiTheme="minorHAnsi" w:eastAsiaTheme="minorEastAsia" w:hAnsiTheme="minorHAnsi" w:cstheme="minorBidi"/>
          <w:noProof/>
          <w:sz w:val="22"/>
          <w:szCs w:val="22"/>
        </w:rPr>
      </w:pPr>
      <w:r w:rsidRPr="00AD151D">
        <w:rPr>
          <w:b/>
        </w:rPr>
        <w:fldChar w:fldCharType="begin"/>
      </w:r>
      <w:r w:rsidRPr="00AD151D">
        <w:rPr>
          <w:b/>
        </w:rPr>
        <w:instrText xml:space="preserve"> TOC \c "Table" </w:instrText>
      </w:r>
      <w:r w:rsidRPr="00AD151D">
        <w:rPr>
          <w:b/>
        </w:rPr>
        <w:fldChar w:fldCharType="separate"/>
      </w:r>
      <w:r w:rsidR="00B3535E">
        <w:rPr>
          <w:noProof/>
        </w:rPr>
        <w:t>Table 1. 2011 Aggregated Load Forecast Data (MW)</w:t>
      </w:r>
      <w:r w:rsidR="00B3535E">
        <w:rPr>
          <w:noProof/>
        </w:rPr>
        <w:tab/>
      </w:r>
      <w:r w:rsidR="00B3535E">
        <w:rPr>
          <w:noProof/>
        </w:rPr>
        <w:fldChar w:fldCharType="begin"/>
      </w:r>
      <w:r w:rsidR="00B3535E">
        <w:rPr>
          <w:noProof/>
        </w:rPr>
        <w:instrText xml:space="preserve"> PAGEREF _Toc347827071 \h </w:instrText>
      </w:r>
      <w:r w:rsidR="00B3535E">
        <w:rPr>
          <w:noProof/>
        </w:rPr>
      </w:r>
      <w:r w:rsidR="00B3535E">
        <w:rPr>
          <w:noProof/>
        </w:rPr>
        <w:fldChar w:fldCharType="separate"/>
      </w:r>
      <w:r w:rsidR="00B3535E">
        <w:rPr>
          <w:noProof/>
        </w:rPr>
        <w:t>7</w:t>
      </w:r>
      <w:r w:rsidR="00B3535E">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2 CEC Plausibility adjustments 2009-2011 (MW)</w:t>
      </w:r>
      <w:r>
        <w:rPr>
          <w:noProof/>
        </w:rPr>
        <w:tab/>
      </w:r>
      <w:r>
        <w:rPr>
          <w:noProof/>
        </w:rPr>
        <w:fldChar w:fldCharType="begin"/>
      </w:r>
      <w:r>
        <w:rPr>
          <w:noProof/>
        </w:rPr>
        <w:instrText xml:space="preserve"> PAGEREF _Toc347827072 \h </w:instrText>
      </w:r>
      <w:r>
        <w:rPr>
          <w:noProof/>
        </w:rPr>
      </w:r>
      <w:r>
        <w:rPr>
          <w:noProof/>
        </w:rPr>
        <w:fldChar w:fldCharType="separate"/>
      </w:r>
      <w:r>
        <w:rPr>
          <w:noProof/>
        </w:rPr>
        <w:t>8</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sidRPr="0061424E">
        <w:rPr>
          <w:noProof/>
        </w:rPr>
        <w:t>Table 3. Summary of Load Forecast Adjustments in 2011 (in MW)</w:t>
      </w:r>
      <w:r>
        <w:rPr>
          <w:noProof/>
        </w:rPr>
        <w:tab/>
      </w:r>
      <w:r>
        <w:rPr>
          <w:noProof/>
        </w:rPr>
        <w:fldChar w:fldCharType="begin"/>
      </w:r>
      <w:r>
        <w:rPr>
          <w:noProof/>
        </w:rPr>
        <w:instrText xml:space="preserve"> PAGEREF _Toc347827073 \h </w:instrText>
      </w:r>
      <w:r>
        <w:rPr>
          <w:noProof/>
        </w:rPr>
      </w:r>
      <w:r>
        <w:rPr>
          <w:noProof/>
        </w:rPr>
        <w:fldChar w:fldCharType="separate"/>
      </w:r>
      <w:r>
        <w:rPr>
          <w:noProof/>
        </w:rPr>
        <w:t>9</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4. 2011 RA Filing Summary - CPUC Jurisdictional Entities (MWs)</w:t>
      </w:r>
      <w:r>
        <w:rPr>
          <w:noProof/>
        </w:rPr>
        <w:tab/>
      </w:r>
      <w:r>
        <w:rPr>
          <w:noProof/>
        </w:rPr>
        <w:fldChar w:fldCharType="begin"/>
      </w:r>
      <w:r>
        <w:rPr>
          <w:noProof/>
        </w:rPr>
        <w:instrText xml:space="preserve"> PAGEREF _Toc347827074 \h </w:instrText>
      </w:r>
      <w:r>
        <w:rPr>
          <w:noProof/>
        </w:rPr>
      </w:r>
      <w:r>
        <w:rPr>
          <w:noProof/>
        </w:rPr>
        <w:fldChar w:fldCharType="separate"/>
      </w:r>
      <w:r>
        <w:rPr>
          <w:noProof/>
        </w:rPr>
        <w:t>10</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5. Local RA procurement in 2011 – CPUC jurisdictional LSEs</w:t>
      </w:r>
      <w:r>
        <w:rPr>
          <w:noProof/>
        </w:rPr>
        <w:tab/>
      </w:r>
      <w:r>
        <w:rPr>
          <w:noProof/>
        </w:rPr>
        <w:fldChar w:fldCharType="begin"/>
      </w:r>
      <w:r>
        <w:rPr>
          <w:noProof/>
        </w:rPr>
        <w:instrText xml:space="preserve"> PAGEREF _Toc347827075 \h </w:instrText>
      </w:r>
      <w:r>
        <w:rPr>
          <w:noProof/>
        </w:rPr>
      </w:r>
      <w:r>
        <w:rPr>
          <w:noProof/>
        </w:rPr>
        <w:fldChar w:fldCharType="separate"/>
      </w:r>
      <w:r>
        <w:rPr>
          <w:noProof/>
        </w:rPr>
        <w:t>11</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 xml:space="preserve">Table 6 </w:t>
      </w:r>
      <w:r w:rsidRPr="0061424E">
        <w:rPr>
          <w:noProof/>
          <w:color w:val="000000"/>
        </w:rPr>
        <w:t>New Resources that came online in 2011 since the 2011 NQC list</w:t>
      </w:r>
      <w:r>
        <w:rPr>
          <w:noProof/>
        </w:rPr>
        <w:tab/>
      </w:r>
      <w:r>
        <w:rPr>
          <w:noProof/>
        </w:rPr>
        <w:fldChar w:fldCharType="begin"/>
      </w:r>
      <w:r>
        <w:rPr>
          <w:noProof/>
        </w:rPr>
        <w:instrText xml:space="preserve"> PAGEREF _Toc347827076 \h </w:instrText>
      </w:r>
      <w:r>
        <w:rPr>
          <w:noProof/>
        </w:rPr>
      </w:r>
      <w:r>
        <w:rPr>
          <w:noProof/>
        </w:rPr>
        <w:fldChar w:fldCharType="separate"/>
      </w:r>
      <w:r>
        <w:rPr>
          <w:noProof/>
        </w:rPr>
        <w:t>13</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7</w:t>
      </w:r>
      <w:r w:rsidRPr="0061424E">
        <w:rPr>
          <w:noProof/>
          <w:color w:val="000000"/>
        </w:rPr>
        <w:t xml:space="preserve"> Resources that retired in 2011</w:t>
      </w:r>
      <w:r>
        <w:rPr>
          <w:noProof/>
        </w:rPr>
        <w:tab/>
      </w:r>
      <w:r>
        <w:rPr>
          <w:noProof/>
        </w:rPr>
        <w:fldChar w:fldCharType="begin"/>
      </w:r>
      <w:r>
        <w:rPr>
          <w:noProof/>
        </w:rPr>
        <w:instrText xml:space="preserve"> PAGEREF _Toc347827077 \h </w:instrText>
      </w:r>
      <w:r>
        <w:rPr>
          <w:noProof/>
        </w:rPr>
      </w:r>
      <w:r>
        <w:rPr>
          <w:noProof/>
        </w:rPr>
        <w:fldChar w:fldCharType="separate"/>
      </w:r>
      <w:r>
        <w:rPr>
          <w:noProof/>
        </w:rPr>
        <w:t>14</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8.  NQC for 2006-2011</w:t>
      </w:r>
      <w:r>
        <w:rPr>
          <w:noProof/>
        </w:rPr>
        <w:tab/>
      </w:r>
      <w:r>
        <w:rPr>
          <w:noProof/>
        </w:rPr>
        <w:fldChar w:fldCharType="begin"/>
      </w:r>
      <w:r>
        <w:rPr>
          <w:noProof/>
        </w:rPr>
        <w:instrText xml:space="preserve"> PAGEREF _Toc347827078 \h </w:instrText>
      </w:r>
      <w:r>
        <w:rPr>
          <w:noProof/>
        </w:rPr>
      </w:r>
      <w:r>
        <w:rPr>
          <w:noProof/>
        </w:rPr>
        <w:fldChar w:fldCharType="separate"/>
      </w:r>
      <w:r>
        <w:rPr>
          <w:noProof/>
        </w:rPr>
        <w:t>15</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9.  2011 Import Allocations process (MW)</w:t>
      </w:r>
      <w:r>
        <w:rPr>
          <w:noProof/>
        </w:rPr>
        <w:tab/>
      </w:r>
      <w:r>
        <w:rPr>
          <w:noProof/>
        </w:rPr>
        <w:fldChar w:fldCharType="begin"/>
      </w:r>
      <w:r>
        <w:rPr>
          <w:noProof/>
        </w:rPr>
        <w:instrText xml:space="preserve"> PAGEREF _Toc347827079 \h </w:instrText>
      </w:r>
      <w:r>
        <w:rPr>
          <w:noProof/>
        </w:rPr>
      </w:r>
      <w:r>
        <w:rPr>
          <w:noProof/>
        </w:rPr>
        <w:fldChar w:fldCharType="separate"/>
      </w:r>
      <w:r>
        <w:rPr>
          <w:noProof/>
        </w:rPr>
        <w:t>16</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10.  2011 Import Allocations and Usage (MW)</w:t>
      </w:r>
      <w:r>
        <w:rPr>
          <w:noProof/>
        </w:rPr>
        <w:tab/>
      </w:r>
      <w:r>
        <w:rPr>
          <w:noProof/>
        </w:rPr>
        <w:fldChar w:fldCharType="begin"/>
      </w:r>
      <w:r>
        <w:rPr>
          <w:noProof/>
        </w:rPr>
        <w:instrText xml:space="preserve"> PAGEREF _Toc347827080 \h </w:instrText>
      </w:r>
      <w:r>
        <w:rPr>
          <w:noProof/>
        </w:rPr>
      </w:r>
      <w:r>
        <w:rPr>
          <w:noProof/>
        </w:rPr>
        <w:fldChar w:fldCharType="separate"/>
      </w:r>
      <w:r>
        <w:rPr>
          <w:noProof/>
        </w:rPr>
        <w:t>16</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11 ExD Reason Codes Correlated Into Categories for Analysis</w:t>
      </w:r>
      <w:r>
        <w:rPr>
          <w:noProof/>
        </w:rPr>
        <w:tab/>
      </w:r>
      <w:r>
        <w:rPr>
          <w:noProof/>
        </w:rPr>
        <w:fldChar w:fldCharType="begin"/>
      </w:r>
      <w:r>
        <w:rPr>
          <w:noProof/>
        </w:rPr>
        <w:instrText xml:space="preserve"> PAGEREF _Toc347827081 \h </w:instrText>
      </w:r>
      <w:r>
        <w:rPr>
          <w:noProof/>
        </w:rPr>
      </w:r>
      <w:r>
        <w:rPr>
          <w:noProof/>
        </w:rPr>
        <w:fldChar w:fldCharType="separate"/>
      </w:r>
      <w:r>
        <w:rPr>
          <w:noProof/>
        </w:rPr>
        <w:t>18</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12 Comparison of ExD Volume per month and Local Area (MW)</w:t>
      </w:r>
      <w:r>
        <w:rPr>
          <w:noProof/>
        </w:rPr>
        <w:tab/>
      </w:r>
      <w:r>
        <w:rPr>
          <w:noProof/>
        </w:rPr>
        <w:fldChar w:fldCharType="begin"/>
      </w:r>
      <w:r>
        <w:rPr>
          <w:noProof/>
        </w:rPr>
        <w:instrText xml:space="preserve"> PAGEREF _Toc347827082 \h </w:instrText>
      </w:r>
      <w:r>
        <w:rPr>
          <w:noProof/>
        </w:rPr>
      </w:r>
      <w:r>
        <w:rPr>
          <w:noProof/>
        </w:rPr>
        <w:fldChar w:fldCharType="separate"/>
      </w:r>
      <w:r>
        <w:rPr>
          <w:noProof/>
        </w:rPr>
        <w:t>19</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13 Breakdown of ExD MWh volumes by reason categories</w:t>
      </w:r>
      <w:r>
        <w:rPr>
          <w:noProof/>
        </w:rPr>
        <w:tab/>
      </w:r>
      <w:r>
        <w:rPr>
          <w:noProof/>
        </w:rPr>
        <w:fldChar w:fldCharType="begin"/>
      </w:r>
      <w:r>
        <w:rPr>
          <w:noProof/>
        </w:rPr>
        <w:instrText xml:space="preserve"> PAGEREF _Toc347827083 \h </w:instrText>
      </w:r>
      <w:r>
        <w:rPr>
          <w:noProof/>
        </w:rPr>
      </w:r>
      <w:r>
        <w:rPr>
          <w:noProof/>
        </w:rPr>
        <w:fldChar w:fldCharType="separate"/>
      </w:r>
      <w:r>
        <w:rPr>
          <w:noProof/>
        </w:rPr>
        <w:t>19</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14. RMR designations and RMR allocations for 2008-2011</w:t>
      </w:r>
      <w:r>
        <w:rPr>
          <w:noProof/>
        </w:rPr>
        <w:tab/>
      </w:r>
      <w:r>
        <w:rPr>
          <w:noProof/>
        </w:rPr>
        <w:fldChar w:fldCharType="begin"/>
      </w:r>
      <w:r>
        <w:rPr>
          <w:noProof/>
        </w:rPr>
        <w:instrText xml:space="preserve"> PAGEREF _Toc347827084 \h </w:instrText>
      </w:r>
      <w:r>
        <w:rPr>
          <w:noProof/>
        </w:rPr>
      </w:r>
      <w:r>
        <w:rPr>
          <w:noProof/>
        </w:rPr>
        <w:fldChar w:fldCharType="separate"/>
      </w:r>
      <w:r>
        <w:rPr>
          <w:noProof/>
        </w:rPr>
        <w:t>21</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15 Summary statistics of RA Prices by category</w:t>
      </w:r>
      <w:r>
        <w:rPr>
          <w:noProof/>
        </w:rPr>
        <w:tab/>
      </w:r>
      <w:r>
        <w:rPr>
          <w:noProof/>
        </w:rPr>
        <w:fldChar w:fldCharType="begin"/>
      </w:r>
      <w:r>
        <w:rPr>
          <w:noProof/>
        </w:rPr>
        <w:instrText xml:space="preserve"> PAGEREF _Toc347827085 \h </w:instrText>
      </w:r>
      <w:r>
        <w:rPr>
          <w:noProof/>
        </w:rPr>
      </w:r>
      <w:r>
        <w:rPr>
          <w:noProof/>
        </w:rPr>
        <w:fldChar w:fldCharType="separate"/>
      </w:r>
      <w:r>
        <w:rPr>
          <w:noProof/>
        </w:rPr>
        <w:t>22</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16. Enforcement Summary Pursuant to the RA program since 2006</w:t>
      </w:r>
      <w:r>
        <w:rPr>
          <w:noProof/>
        </w:rPr>
        <w:tab/>
      </w:r>
      <w:r>
        <w:rPr>
          <w:noProof/>
        </w:rPr>
        <w:fldChar w:fldCharType="begin"/>
      </w:r>
      <w:r>
        <w:rPr>
          <w:noProof/>
        </w:rPr>
        <w:instrText xml:space="preserve"> PAGEREF _Toc347827086 \h </w:instrText>
      </w:r>
      <w:r>
        <w:rPr>
          <w:noProof/>
        </w:rPr>
      </w:r>
      <w:r>
        <w:rPr>
          <w:noProof/>
        </w:rPr>
        <w:fldChar w:fldCharType="separate"/>
      </w:r>
      <w:r>
        <w:rPr>
          <w:noProof/>
        </w:rPr>
        <w:t>28</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17 2011 SCP charges ($)</w:t>
      </w:r>
      <w:r>
        <w:rPr>
          <w:noProof/>
        </w:rPr>
        <w:tab/>
      </w:r>
      <w:r>
        <w:rPr>
          <w:noProof/>
        </w:rPr>
        <w:fldChar w:fldCharType="begin"/>
      </w:r>
      <w:r>
        <w:rPr>
          <w:noProof/>
        </w:rPr>
        <w:instrText xml:space="preserve"> PAGEREF _Toc347827087 \h </w:instrText>
      </w:r>
      <w:r>
        <w:rPr>
          <w:noProof/>
        </w:rPr>
      </w:r>
      <w:r>
        <w:rPr>
          <w:noProof/>
        </w:rPr>
        <w:fldChar w:fldCharType="separate"/>
      </w:r>
      <w:r>
        <w:rPr>
          <w:noProof/>
        </w:rPr>
        <w:t>30</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sidRPr="0061424E">
        <w:rPr>
          <w:noProof/>
        </w:rPr>
        <w:t>Table 18. Total CAISO LSE Procurement as Percentage of Total CAISO Obligation</w:t>
      </w:r>
      <w:r>
        <w:rPr>
          <w:noProof/>
        </w:rPr>
        <w:tab/>
      </w:r>
      <w:r>
        <w:rPr>
          <w:noProof/>
        </w:rPr>
        <w:fldChar w:fldCharType="begin"/>
      </w:r>
      <w:r>
        <w:rPr>
          <w:noProof/>
        </w:rPr>
        <w:instrText xml:space="preserve"> PAGEREF _Toc347827088 \h </w:instrText>
      </w:r>
      <w:r>
        <w:rPr>
          <w:noProof/>
        </w:rPr>
      </w:r>
      <w:r>
        <w:rPr>
          <w:noProof/>
        </w:rPr>
        <w:fldChar w:fldCharType="separate"/>
      </w:r>
      <w:r>
        <w:rPr>
          <w:noProof/>
        </w:rPr>
        <w:t>32</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Table 19 ExD by reason and by month (MWh)</w:t>
      </w:r>
      <w:r>
        <w:rPr>
          <w:noProof/>
        </w:rPr>
        <w:tab/>
      </w:r>
      <w:r>
        <w:rPr>
          <w:noProof/>
        </w:rPr>
        <w:fldChar w:fldCharType="begin"/>
      </w:r>
      <w:r>
        <w:rPr>
          <w:noProof/>
        </w:rPr>
        <w:instrText xml:space="preserve"> PAGEREF _Toc347827089 \h </w:instrText>
      </w:r>
      <w:r>
        <w:rPr>
          <w:noProof/>
        </w:rPr>
      </w:r>
      <w:r>
        <w:rPr>
          <w:noProof/>
        </w:rPr>
        <w:fldChar w:fldCharType="separate"/>
      </w:r>
      <w:r>
        <w:rPr>
          <w:noProof/>
        </w:rPr>
        <w:t>33</w:t>
      </w:r>
      <w:r>
        <w:rPr>
          <w:noProof/>
        </w:rPr>
        <w:fldChar w:fldCharType="end"/>
      </w:r>
    </w:p>
    <w:p w:rsidR="00AE7D50" w:rsidRPr="00AD151D" w:rsidRDefault="00AE7D50">
      <w:pPr>
        <w:pStyle w:val="TableofFigures"/>
        <w:tabs>
          <w:tab w:val="right" w:leader="dot" w:pos="8630"/>
        </w:tabs>
        <w:rPr>
          <w:b/>
        </w:rPr>
      </w:pPr>
      <w:r w:rsidRPr="00AD151D">
        <w:rPr>
          <w:b/>
        </w:rPr>
        <w:fldChar w:fldCharType="end"/>
      </w:r>
    </w:p>
    <w:p w:rsidR="00AE7D50" w:rsidRPr="00AD151D" w:rsidRDefault="00AE7D50">
      <w:pPr>
        <w:pStyle w:val="Heading1"/>
        <w:numPr>
          <w:ilvl w:val="0"/>
          <w:numId w:val="0"/>
        </w:numPr>
        <w:spacing w:before="0"/>
      </w:pPr>
      <w:bookmarkStart w:id="5" w:name="_Toc347827040"/>
      <w:r w:rsidRPr="00AD151D">
        <w:t>Index of Figures</w:t>
      </w:r>
      <w:bookmarkEnd w:id="5"/>
    </w:p>
    <w:p w:rsidR="00B3535E" w:rsidRDefault="00AE7D50">
      <w:pPr>
        <w:pStyle w:val="TableofFigures"/>
        <w:tabs>
          <w:tab w:val="right" w:leader="dot" w:pos="8630"/>
        </w:tabs>
        <w:rPr>
          <w:rFonts w:asciiTheme="minorHAnsi" w:eastAsiaTheme="minorEastAsia" w:hAnsiTheme="minorHAnsi" w:cstheme="minorBidi"/>
          <w:noProof/>
          <w:sz w:val="22"/>
          <w:szCs w:val="22"/>
        </w:rPr>
      </w:pPr>
      <w:r w:rsidRPr="00AD151D">
        <w:fldChar w:fldCharType="begin"/>
      </w:r>
      <w:r w:rsidRPr="00AD151D">
        <w:instrText xml:space="preserve"> TOC \c "Figure" </w:instrText>
      </w:r>
      <w:r w:rsidRPr="00AD151D">
        <w:fldChar w:fldCharType="separate"/>
      </w:r>
      <w:r w:rsidR="00B3535E">
        <w:rPr>
          <w:noProof/>
        </w:rPr>
        <w:t xml:space="preserve">Figure </w:t>
      </w:r>
      <w:r w:rsidR="00B3535E" w:rsidRPr="007662D1">
        <w:rPr>
          <w:noProof/>
        </w:rPr>
        <w:t>1</w:t>
      </w:r>
      <w:r w:rsidR="00B3535E">
        <w:rPr>
          <w:noProof/>
        </w:rPr>
        <w:t>. Monthly Net Migration Adjustments from 2007-2011</w:t>
      </w:r>
      <w:r w:rsidR="00B3535E">
        <w:rPr>
          <w:noProof/>
        </w:rPr>
        <w:tab/>
      </w:r>
      <w:r w:rsidR="00B3535E">
        <w:rPr>
          <w:noProof/>
        </w:rPr>
        <w:fldChar w:fldCharType="begin"/>
      </w:r>
      <w:r w:rsidR="00B3535E">
        <w:rPr>
          <w:noProof/>
        </w:rPr>
        <w:instrText xml:space="preserve"> PAGEREF _Toc347827090 \h </w:instrText>
      </w:r>
      <w:r w:rsidR="00B3535E">
        <w:rPr>
          <w:noProof/>
        </w:rPr>
      </w:r>
      <w:r w:rsidR="00B3535E">
        <w:rPr>
          <w:noProof/>
        </w:rPr>
        <w:fldChar w:fldCharType="separate"/>
      </w:r>
      <w:r w:rsidR="00B3535E">
        <w:rPr>
          <w:noProof/>
        </w:rPr>
        <w:t>8</w:t>
      </w:r>
      <w:r w:rsidR="00B3535E">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Figure 2. Total CAISO Summer 2011 Forward Procurement Obligation and Forward Procurement vs. LSE Demand Forecast and Actual Monthly Peak Demand (MW)</w:t>
      </w:r>
      <w:r>
        <w:rPr>
          <w:noProof/>
        </w:rPr>
        <w:tab/>
      </w:r>
      <w:r>
        <w:rPr>
          <w:noProof/>
        </w:rPr>
        <w:fldChar w:fldCharType="begin"/>
      </w:r>
      <w:r>
        <w:rPr>
          <w:noProof/>
        </w:rPr>
        <w:instrText xml:space="preserve"> PAGEREF _Toc347827091 \h </w:instrText>
      </w:r>
      <w:r>
        <w:rPr>
          <w:noProof/>
        </w:rPr>
      </w:r>
      <w:r>
        <w:rPr>
          <w:noProof/>
        </w:rPr>
        <w:fldChar w:fldCharType="separate"/>
      </w:r>
      <w:r>
        <w:rPr>
          <w:noProof/>
        </w:rPr>
        <w:t>12</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Figure 3 Breakdown of prices paid for RA only contracts in data set</w:t>
      </w:r>
      <w:r>
        <w:rPr>
          <w:noProof/>
        </w:rPr>
        <w:tab/>
      </w:r>
      <w:r>
        <w:rPr>
          <w:noProof/>
        </w:rPr>
        <w:fldChar w:fldCharType="begin"/>
      </w:r>
      <w:r>
        <w:rPr>
          <w:noProof/>
        </w:rPr>
        <w:instrText xml:space="preserve"> PAGEREF _Toc347827092 \h </w:instrText>
      </w:r>
      <w:r>
        <w:rPr>
          <w:noProof/>
        </w:rPr>
      </w:r>
      <w:r>
        <w:rPr>
          <w:noProof/>
        </w:rPr>
        <w:fldChar w:fldCharType="separate"/>
      </w:r>
      <w:r>
        <w:rPr>
          <w:noProof/>
        </w:rPr>
        <w:t>23</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Figure 4 Breakdown of prices paid for RA only contracts with System Resources</w:t>
      </w:r>
      <w:r>
        <w:rPr>
          <w:noProof/>
        </w:rPr>
        <w:tab/>
      </w:r>
      <w:r>
        <w:rPr>
          <w:noProof/>
        </w:rPr>
        <w:fldChar w:fldCharType="begin"/>
      </w:r>
      <w:r>
        <w:rPr>
          <w:noProof/>
        </w:rPr>
        <w:instrText xml:space="preserve"> PAGEREF _Toc347827093 \h </w:instrText>
      </w:r>
      <w:r>
        <w:rPr>
          <w:noProof/>
        </w:rPr>
      </w:r>
      <w:r>
        <w:rPr>
          <w:noProof/>
        </w:rPr>
        <w:fldChar w:fldCharType="separate"/>
      </w:r>
      <w:r>
        <w:rPr>
          <w:noProof/>
        </w:rPr>
        <w:t>23</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Figure 5 Breakdown of prices paid for RA contracts with NP26 Resources</w:t>
      </w:r>
      <w:r>
        <w:rPr>
          <w:noProof/>
        </w:rPr>
        <w:tab/>
      </w:r>
      <w:r>
        <w:rPr>
          <w:noProof/>
        </w:rPr>
        <w:fldChar w:fldCharType="begin"/>
      </w:r>
      <w:r>
        <w:rPr>
          <w:noProof/>
        </w:rPr>
        <w:instrText xml:space="preserve"> PAGEREF _Toc347827094 \h </w:instrText>
      </w:r>
      <w:r>
        <w:rPr>
          <w:noProof/>
        </w:rPr>
      </w:r>
      <w:r>
        <w:rPr>
          <w:noProof/>
        </w:rPr>
        <w:fldChar w:fldCharType="separate"/>
      </w:r>
      <w:r>
        <w:rPr>
          <w:noProof/>
        </w:rPr>
        <w:t>24</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Figure 6 Breakdown of prices paid for RA only contracts with SP26 Resources</w:t>
      </w:r>
      <w:r>
        <w:rPr>
          <w:noProof/>
        </w:rPr>
        <w:tab/>
      </w:r>
      <w:r>
        <w:rPr>
          <w:noProof/>
        </w:rPr>
        <w:fldChar w:fldCharType="begin"/>
      </w:r>
      <w:r>
        <w:rPr>
          <w:noProof/>
        </w:rPr>
        <w:instrText xml:space="preserve"> PAGEREF _Toc347827095 \h </w:instrText>
      </w:r>
      <w:r>
        <w:rPr>
          <w:noProof/>
        </w:rPr>
      </w:r>
      <w:r>
        <w:rPr>
          <w:noProof/>
        </w:rPr>
        <w:fldChar w:fldCharType="separate"/>
      </w:r>
      <w:r>
        <w:rPr>
          <w:noProof/>
        </w:rPr>
        <w:t>24</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Figure 7 Breakdown of prices paid for Local RA only contracts</w:t>
      </w:r>
      <w:r>
        <w:rPr>
          <w:noProof/>
        </w:rPr>
        <w:tab/>
      </w:r>
      <w:r>
        <w:rPr>
          <w:noProof/>
        </w:rPr>
        <w:fldChar w:fldCharType="begin"/>
      </w:r>
      <w:r>
        <w:rPr>
          <w:noProof/>
        </w:rPr>
        <w:instrText xml:space="preserve"> PAGEREF _Toc347827096 \h </w:instrText>
      </w:r>
      <w:r>
        <w:rPr>
          <w:noProof/>
        </w:rPr>
      </w:r>
      <w:r>
        <w:rPr>
          <w:noProof/>
        </w:rPr>
        <w:fldChar w:fldCharType="separate"/>
      </w:r>
      <w:r>
        <w:rPr>
          <w:noProof/>
        </w:rPr>
        <w:t>25</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Figure 8 Local RA Prices Paid NP26</w:t>
      </w:r>
      <w:r>
        <w:rPr>
          <w:noProof/>
        </w:rPr>
        <w:tab/>
      </w:r>
      <w:r>
        <w:rPr>
          <w:noProof/>
        </w:rPr>
        <w:fldChar w:fldCharType="begin"/>
      </w:r>
      <w:r>
        <w:rPr>
          <w:noProof/>
        </w:rPr>
        <w:instrText xml:space="preserve"> PAGEREF _Toc347827097 \h </w:instrText>
      </w:r>
      <w:r>
        <w:rPr>
          <w:noProof/>
        </w:rPr>
      </w:r>
      <w:r>
        <w:rPr>
          <w:noProof/>
        </w:rPr>
        <w:fldChar w:fldCharType="separate"/>
      </w:r>
      <w:r>
        <w:rPr>
          <w:noProof/>
        </w:rPr>
        <w:t>25</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Figure 9 Local RA Prices Paid SP 26</w:t>
      </w:r>
      <w:r>
        <w:rPr>
          <w:noProof/>
        </w:rPr>
        <w:tab/>
      </w:r>
      <w:r>
        <w:rPr>
          <w:noProof/>
        </w:rPr>
        <w:fldChar w:fldCharType="begin"/>
      </w:r>
      <w:r>
        <w:rPr>
          <w:noProof/>
        </w:rPr>
        <w:instrText xml:space="preserve"> PAGEREF _Toc347827098 \h </w:instrText>
      </w:r>
      <w:r>
        <w:rPr>
          <w:noProof/>
        </w:rPr>
      </w:r>
      <w:r>
        <w:rPr>
          <w:noProof/>
        </w:rPr>
        <w:fldChar w:fldCharType="separate"/>
      </w:r>
      <w:r>
        <w:rPr>
          <w:noProof/>
        </w:rPr>
        <w:t>26</w:t>
      </w:r>
      <w:r>
        <w:rPr>
          <w:noProof/>
        </w:rPr>
        <w:fldChar w:fldCharType="end"/>
      </w:r>
    </w:p>
    <w:p w:rsidR="00B3535E" w:rsidRDefault="00B3535E">
      <w:pPr>
        <w:pStyle w:val="TableofFigures"/>
        <w:tabs>
          <w:tab w:val="right" w:leader="dot" w:pos="8630"/>
        </w:tabs>
        <w:rPr>
          <w:rFonts w:asciiTheme="minorHAnsi" w:eastAsiaTheme="minorEastAsia" w:hAnsiTheme="minorHAnsi" w:cstheme="minorBidi"/>
          <w:noProof/>
          <w:sz w:val="22"/>
          <w:szCs w:val="22"/>
        </w:rPr>
      </w:pPr>
      <w:r>
        <w:rPr>
          <w:noProof/>
        </w:rPr>
        <w:t>Figure 10  Average Actual Availability 2011</w:t>
      </w:r>
      <w:r>
        <w:rPr>
          <w:noProof/>
        </w:rPr>
        <w:tab/>
      </w:r>
      <w:r>
        <w:rPr>
          <w:noProof/>
        </w:rPr>
        <w:fldChar w:fldCharType="begin"/>
      </w:r>
      <w:r>
        <w:rPr>
          <w:noProof/>
        </w:rPr>
        <w:instrText xml:space="preserve"> PAGEREF _Toc347827099 \h </w:instrText>
      </w:r>
      <w:r>
        <w:rPr>
          <w:noProof/>
        </w:rPr>
      </w:r>
      <w:r>
        <w:rPr>
          <w:noProof/>
        </w:rPr>
        <w:fldChar w:fldCharType="separate"/>
      </w:r>
      <w:r>
        <w:rPr>
          <w:noProof/>
        </w:rPr>
        <w:t>31</w:t>
      </w:r>
      <w:r>
        <w:rPr>
          <w:noProof/>
        </w:rPr>
        <w:fldChar w:fldCharType="end"/>
      </w:r>
    </w:p>
    <w:p w:rsidR="00AE7D50" w:rsidRPr="00AD151D" w:rsidRDefault="00AE7D50">
      <w:pPr>
        <w:rPr>
          <w:b/>
        </w:rPr>
      </w:pPr>
      <w:r w:rsidRPr="00AD151D">
        <w:fldChar w:fldCharType="end"/>
      </w:r>
      <w:bookmarkStart w:id="6" w:name="_Toc221697656"/>
      <w:bookmarkStart w:id="7" w:name="_Toc223253243"/>
      <w:bookmarkStart w:id="8" w:name="_Toc223315651"/>
      <w:bookmarkStart w:id="9" w:name="_Toc224022426"/>
    </w:p>
    <w:p w:rsidR="00AE7D50" w:rsidRPr="00AD151D" w:rsidRDefault="00AE7D50">
      <w:pPr>
        <w:keepNext/>
        <w:keepLines/>
        <w:rPr>
          <w:b/>
        </w:rPr>
      </w:pPr>
      <w:r w:rsidRPr="00AD151D">
        <w:rPr>
          <w:b/>
        </w:rPr>
        <w:lastRenderedPageBreak/>
        <w:t>Table of Acronyms</w:t>
      </w:r>
      <w:bookmarkEnd w:id="6"/>
    </w:p>
    <w:tbl>
      <w:tblPr>
        <w:tblW w:w="6768" w:type="dxa"/>
        <w:tblLook w:val="0000" w:firstRow="0" w:lastRow="0" w:firstColumn="0" w:lastColumn="0" w:noHBand="0" w:noVBand="0"/>
      </w:tblPr>
      <w:tblGrid>
        <w:gridCol w:w="960"/>
        <w:gridCol w:w="2208"/>
        <w:gridCol w:w="960"/>
        <w:gridCol w:w="2640"/>
      </w:tblGrid>
      <w:tr w:rsidR="00AE7D50" w:rsidRPr="00AD151D">
        <w:trPr>
          <w:trHeight w:val="315"/>
        </w:trPr>
        <w:tc>
          <w:tcPr>
            <w:tcW w:w="960" w:type="dxa"/>
            <w:tcBorders>
              <w:top w:val="single" w:sz="8" w:space="0" w:color="auto"/>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AS</w:t>
            </w:r>
          </w:p>
        </w:tc>
        <w:tc>
          <w:tcPr>
            <w:tcW w:w="2208" w:type="dxa"/>
            <w:tcBorders>
              <w:top w:val="single" w:sz="8" w:space="0" w:color="auto"/>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Ancillary Services </w:t>
            </w:r>
          </w:p>
        </w:tc>
        <w:tc>
          <w:tcPr>
            <w:tcW w:w="960" w:type="dxa"/>
            <w:tcBorders>
              <w:top w:val="single" w:sz="8" w:space="0" w:color="auto"/>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LI</w:t>
            </w:r>
          </w:p>
        </w:tc>
        <w:tc>
          <w:tcPr>
            <w:tcW w:w="2640" w:type="dxa"/>
            <w:tcBorders>
              <w:top w:val="single" w:sz="8" w:space="0" w:color="auto"/>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Load Impact </w:t>
            </w:r>
          </w:p>
        </w:tc>
      </w:tr>
      <w:tr w:rsidR="00AE7D50" w:rsidRPr="00AD151D">
        <w:trPr>
          <w:trHeight w:val="178"/>
        </w:trPr>
        <w:tc>
          <w:tcPr>
            <w:tcW w:w="960" w:type="dxa"/>
            <w:tcBorders>
              <w:top w:val="nil"/>
              <w:left w:val="single" w:sz="8" w:space="0" w:color="auto"/>
              <w:bottom w:val="single" w:sz="8" w:space="0" w:color="auto"/>
              <w:right w:val="single" w:sz="8" w:space="0" w:color="auto"/>
            </w:tcBorders>
            <w:noWrap/>
            <w:vAlign w:val="bottom"/>
          </w:tcPr>
          <w:p w:rsidR="00AE7D50" w:rsidRPr="00AD151D" w:rsidRDefault="00AE7D50">
            <w:pPr>
              <w:keepNext/>
              <w:keepLines/>
              <w:rPr>
                <w:color w:val="000000"/>
              </w:rPr>
            </w:pPr>
            <w:r w:rsidRPr="00AD151D">
              <w:rPr>
                <w:color w:val="000000"/>
                <w:sz w:val="22"/>
                <w:szCs w:val="22"/>
              </w:rPr>
              <w:t>BCR</w:t>
            </w:r>
          </w:p>
        </w:tc>
        <w:tc>
          <w:tcPr>
            <w:tcW w:w="2208" w:type="dxa"/>
            <w:tcBorders>
              <w:top w:val="nil"/>
              <w:left w:val="nil"/>
              <w:bottom w:val="single" w:sz="8" w:space="0" w:color="auto"/>
              <w:right w:val="single" w:sz="8" w:space="0" w:color="auto"/>
            </w:tcBorders>
            <w:noWrap/>
            <w:vAlign w:val="bottom"/>
          </w:tcPr>
          <w:p w:rsidR="00AE7D50" w:rsidRPr="00AD151D" w:rsidRDefault="00AE7D50">
            <w:pPr>
              <w:keepNext/>
              <w:keepLines/>
              <w:rPr>
                <w:color w:val="000000"/>
              </w:rPr>
            </w:pPr>
            <w:r w:rsidRPr="00AD151D">
              <w:rPr>
                <w:color w:val="000000"/>
                <w:sz w:val="22"/>
                <w:szCs w:val="22"/>
              </w:rPr>
              <w:t>Bid Cost Recovery</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LOLP</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Loss of Load Probability</w:t>
            </w:r>
          </w:p>
        </w:tc>
      </w:tr>
      <w:tr w:rsidR="00AE7D50" w:rsidRPr="00AD151D">
        <w:trPr>
          <w:trHeight w:val="700"/>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CAISO</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smartTag w:uri="urn:schemas-microsoft-com:office:smarttags" w:element="place">
              <w:smartTag w:uri="urn:schemas-microsoft-com:office:smarttags" w:element="State">
                <w:r w:rsidRPr="00AD151D">
                  <w:rPr>
                    <w:color w:val="000000"/>
                    <w:sz w:val="22"/>
                    <w:szCs w:val="22"/>
                  </w:rPr>
                  <w:t>California</w:t>
                </w:r>
              </w:smartTag>
            </w:smartTag>
            <w:r w:rsidRPr="00AD151D">
              <w:rPr>
                <w:color w:val="000000"/>
                <w:sz w:val="22"/>
                <w:szCs w:val="22"/>
              </w:rPr>
              <w:t xml:space="preserve"> Independent System Operator</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LSE</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Load Serving Entity</w:t>
            </w:r>
          </w:p>
        </w:tc>
      </w:tr>
      <w:tr w:rsidR="00AE7D50" w:rsidRPr="00AD151D">
        <w:trPr>
          <w:trHeight w:val="475"/>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smartTag w:uri="urn:schemas-microsoft-com:office:smarttags" w:element="place">
              <w:r w:rsidRPr="00AD151D">
                <w:rPr>
                  <w:color w:val="000000"/>
                  <w:sz w:val="22"/>
                  <w:szCs w:val="22"/>
                </w:rPr>
                <w:t>CAM</w:t>
              </w:r>
            </w:smartTag>
            <w:r w:rsidRPr="00AD151D">
              <w:rPr>
                <w:color w:val="000000"/>
                <w:sz w:val="22"/>
                <w:szCs w:val="22"/>
              </w:rPr>
              <w:t xml:space="preserve"> </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Cost-Allocation Methodology </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MCC</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Maximum Cumulative Capacity </w:t>
            </w:r>
          </w:p>
        </w:tc>
      </w:tr>
      <w:tr w:rsidR="00AE7D50" w:rsidRPr="00AD151D">
        <w:trPr>
          <w:trHeight w:val="313"/>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CCGT</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Combined Cycle Gas Turbine </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MOO</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Must Offer Obligation </w:t>
            </w:r>
          </w:p>
        </w:tc>
      </w:tr>
      <w:tr w:rsidR="00AE7D50" w:rsidRPr="00AD151D">
        <w:trPr>
          <w:trHeight w:val="151"/>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CEC</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smartTag w:uri="urn:schemas-microsoft-com:office:smarttags" w:element="place">
              <w:smartTag w:uri="urn:schemas-microsoft-com:office:smarttags" w:element="State">
                <w:r w:rsidRPr="00AD151D">
                  <w:rPr>
                    <w:color w:val="000000"/>
                    <w:sz w:val="22"/>
                    <w:szCs w:val="22"/>
                  </w:rPr>
                  <w:t>California</w:t>
                </w:r>
              </w:smartTag>
            </w:smartTag>
            <w:r w:rsidRPr="00AD151D">
              <w:rPr>
                <w:color w:val="000000"/>
                <w:sz w:val="22"/>
                <w:szCs w:val="22"/>
              </w:rPr>
              <w:t xml:space="preserve"> Energy Commission</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MW</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Megawatt</w:t>
            </w:r>
          </w:p>
        </w:tc>
      </w:tr>
      <w:tr w:rsidR="00AE7D50" w:rsidRPr="00AD151D">
        <w:trPr>
          <w:trHeight w:val="54"/>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DA</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Direct Access</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NCF</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Net Capacity Factor </w:t>
            </w:r>
          </w:p>
        </w:tc>
      </w:tr>
      <w:tr w:rsidR="00AE7D50" w:rsidRPr="00AD151D">
        <w:trPr>
          <w:trHeight w:val="70"/>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DASR</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Direct Access Service Request</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NDC</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Net Dependable Capacity</w:t>
            </w:r>
          </w:p>
        </w:tc>
      </w:tr>
      <w:tr w:rsidR="00AE7D50" w:rsidRPr="00AD151D">
        <w:trPr>
          <w:trHeight w:val="79"/>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DG</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Distributed Generation</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NERC</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North American Reliability Corporation </w:t>
            </w:r>
          </w:p>
        </w:tc>
      </w:tr>
      <w:tr w:rsidR="00AE7D50" w:rsidRPr="00AD151D">
        <w:trPr>
          <w:trHeight w:val="88"/>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DR</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Demand Response</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NQC</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Net Qualifying Capacity </w:t>
            </w:r>
          </w:p>
        </w:tc>
      </w:tr>
      <w:tr w:rsidR="00AE7D50" w:rsidRPr="00AD151D">
        <w:trPr>
          <w:trHeight w:val="178"/>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DSM</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Demand Side Management</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PRM</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Planning Reserve Margin </w:t>
            </w:r>
          </w:p>
        </w:tc>
      </w:tr>
      <w:tr w:rsidR="00AE7D50" w:rsidRPr="00AD151D">
        <w:trPr>
          <w:trHeight w:val="385"/>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EAF</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Equivalent Availability Factor</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QC</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Qualifying Capacity</w:t>
            </w:r>
          </w:p>
        </w:tc>
      </w:tr>
      <w:tr w:rsidR="00AE7D50" w:rsidRPr="00AD151D">
        <w:trPr>
          <w:trHeight w:val="214"/>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ED</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Energy Division </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QF</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Qualifying Facility </w:t>
            </w:r>
          </w:p>
        </w:tc>
      </w:tr>
      <w:tr w:rsidR="00AE7D50" w:rsidRPr="00AD151D">
        <w:trPr>
          <w:trHeight w:val="304"/>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EFORd</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Equivalent Forced Outage Rate of demand </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RA</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Resource Adequacy </w:t>
            </w:r>
          </w:p>
        </w:tc>
      </w:tr>
      <w:tr w:rsidR="00AE7D50" w:rsidRPr="00AD151D">
        <w:trPr>
          <w:trHeight w:val="232"/>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ELCC</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Effective Load Carrying Capacity </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RAR</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Resource Adequacy Requirement</w:t>
            </w:r>
          </w:p>
        </w:tc>
      </w:tr>
      <w:tr w:rsidR="00AE7D50" w:rsidRPr="00AD151D">
        <w:trPr>
          <w:trHeight w:val="439"/>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ERRA</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Energy Resource Recovery Account</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RMR</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Reliability Must Run</w:t>
            </w:r>
          </w:p>
        </w:tc>
      </w:tr>
      <w:tr w:rsidR="00AE7D50" w:rsidRPr="00AD151D">
        <w:trPr>
          <w:trHeight w:val="448"/>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ESP</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Electricity Service Provider</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RPS</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Renewable Portfolio Standard</w:t>
            </w:r>
          </w:p>
        </w:tc>
      </w:tr>
      <w:tr w:rsidR="00AE7D50" w:rsidRPr="00AD151D">
        <w:trPr>
          <w:trHeight w:val="457"/>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ETC</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Existing Transmission Contract</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SCP</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Standard Capacity Product</w:t>
            </w:r>
          </w:p>
        </w:tc>
      </w:tr>
      <w:tr w:rsidR="00AE7D50" w:rsidRPr="00AD151D">
        <w:trPr>
          <w:trHeight w:val="583"/>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FERC</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Federal Energy Regulatory Commission</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SFTP</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Secure File Transfer Protocol</w:t>
            </w:r>
          </w:p>
        </w:tc>
      </w:tr>
      <w:tr w:rsidR="00AE7D50" w:rsidRPr="00AD151D">
        <w:trPr>
          <w:trHeight w:val="349"/>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FOH</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Forced Outage Hours </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TAC</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Transmission Access Charge </w:t>
            </w:r>
          </w:p>
        </w:tc>
      </w:tr>
      <w:tr w:rsidR="00AE7D50" w:rsidRPr="00AD151D">
        <w:trPr>
          <w:trHeight w:val="54"/>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HE</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Hour Ending</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TCPM</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Transitional Capacity Procurement Mechanism</w:t>
            </w:r>
          </w:p>
        </w:tc>
      </w:tr>
      <w:tr w:rsidR="00AE7D50" w:rsidRPr="00AD151D">
        <w:trPr>
          <w:trHeight w:val="547"/>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ICPM</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Interim Capacity Procurement Mechanism</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TIC</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Total Installed Capacity</w:t>
            </w:r>
          </w:p>
        </w:tc>
      </w:tr>
      <w:tr w:rsidR="00AE7D50" w:rsidRPr="00AD151D">
        <w:trPr>
          <w:trHeight w:val="313"/>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IOU</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Investor Owned Utility</w:t>
            </w:r>
          </w:p>
        </w:tc>
        <w:tc>
          <w:tcPr>
            <w:tcW w:w="96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ULR</w:t>
            </w:r>
          </w:p>
        </w:tc>
        <w:tc>
          <w:tcPr>
            <w:tcW w:w="2640"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 xml:space="preserve">Use Limited Resources </w:t>
            </w:r>
          </w:p>
        </w:tc>
      </w:tr>
      <w:tr w:rsidR="00AE7D50" w:rsidRPr="00AD151D">
        <w:trPr>
          <w:trHeight w:val="322"/>
        </w:trPr>
        <w:tc>
          <w:tcPr>
            <w:tcW w:w="960" w:type="dxa"/>
            <w:tcBorders>
              <w:top w:val="nil"/>
              <w:left w:val="single" w:sz="8" w:space="0" w:color="auto"/>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LD</w:t>
            </w:r>
          </w:p>
        </w:tc>
        <w:tc>
          <w:tcPr>
            <w:tcW w:w="2208" w:type="dxa"/>
            <w:tcBorders>
              <w:top w:val="nil"/>
              <w:left w:val="nil"/>
              <w:bottom w:val="single" w:sz="8" w:space="0" w:color="auto"/>
              <w:right w:val="single" w:sz="8" w:space="0" w:color="auto"/>
            </w:tcBorders>
            <w:vAlign w:val="bottom"/>
          </w:tcPr>
          <w:p w:rsidR="00AE7D50" w:rsidRPr="00AD151D" w:rsidRDefault="00AE7D50">
            <w:pPr>
              <w:keepNext/>
              <w:keepLines/>
              <w:rPr>
                <w:color w:val="000000"/>
              </w:rPr>
            </w:pPr>
            <w:r w:rsidRPr="00AD151D">
              <w:rPr>
                <w:color w:val="000000"/>
                <w:sz w:val="22"/>
                <w:szCs w:val="22"/>
              </w:rPr>
              <w:t>Liquidated Damages</w:t>
            </w:r>
          </w:p>
        </w:tc>
        <w:tc>
          <w:tcPr>
            <w:tcW w:w="960" w:type="dxa"/>
            <w:tcBorders>
              <w:top w:val="nil"/>
              <w:left w:val="nil"/>
              <w:bottom w:val="nil"/>
              <w:right w:val="nil"/>
            </w:tcBorders>
            <w:noWrap/>
            <w:vAlign w:val="bottom"/>
          </w:tcPr>
          <w:p w:rsidR="00AE7D50" w:rsidRPr="00AD151D" w:rsidRDefault="00AE7D50">
            <w:pPr>
              <w:keepNext/>
              <w:keepLines/>
              <w:rPr>
                <w:rFonts w:ascii="Calibri" w:hAnsi="Calibri"/>
                <w:color w:val="000000"/>
              </w:rPr>
            </w:pPr>
          </w:p>
        </w:tc>
        <w:tc>
          <w:tcPr>
            <w:tcW w:w="2640" w:type="dxa"/>
            <w:tcBorders>
              <w:top w:val="nil"/>
              <w:left w:val="nil"/>
              <w:bottom w:val="nil"/>
              <w:right w:val="nil"/>
            </w:tcBorders>
            <w:noWrap/>
            <w:vAlign w:val="bottom"/>
          </w:tcPr>
          <w:p w:rsidR="00AE7D50" w:rsidRPr="00AD151D" w:rsidRDefault="00AE7D50">
            <w:pPr>
              <w:keepNext/>
              <w:keepLines/>
              <w:rPr>
                <w:rFonts w:ascii="Calibri" w:hAnsi="Calibri"/>
                <w:color w:val="000000"/>
              </w:rPr>
            </w:pPr>
          </w:p>
        </w:tc>
      </w:tr>
    </w:tbl>
    <w:p w:rsidR="00AE7D50" w:rsidRPr="00AD151D" w:rsidRDefault="00AE7D50">
      <w:pPr>
        <w:widowControl w:val="0"/>
        <w:rPr>
          <w:b/>
        </w:rPr>
      </w:pPr>
    </w:p>
    <w:p w:rsidR="00AE7D50" w:rsidRPr="00AD151D" w:rsidRDefault="00AE7D50">
      <w:pPr>
        <w:pStyle w:val="Heading1"/>
        <w:numPr>
          <w:ilvl w:val="0"/>
          <w:numId w:val="23"/>
        </w:numPr>
      </w:pPr>
      <w:bookmarkStart w:id="10" w:name="_Toc347827041"/>
      <w:r w:rsidRPr="00AD151D">
        <w:lastRenderedPageBreak/>
        <w:t>Executive Summary</w:t>
      </w:r>
      <w:bookmarkEnd w:id="7"/>
      <w:bookmarkEnd w:id="8"/>
      <w:bookmarkEnd w:id="9"/>
      <w:bookmarkEnd w:id="10"/>
      <w:r w:rsidRPr="00AD151D">
        <w:tab/>
      </w:r>
    </w:p>
    <w:p w:rsidR="00AE7D50" w:rsidRPr="00AD151D" w:rsidRDefault="00AE7D50">
      <w:pPr>
        <w:spacing w:before="120"/>
        <w:ind w:firstLine="720"/>
      </w:pPr>
      <w:r w:rsidRPr="00AD151D">
        <w:t xml:space="preserve">The intent of the Resource Adequacy (RA) program is to ensure that sufficient capacity is available to meet the peak load and </w:t>
      </w:r>
      <w:r w:rsidR="00F9107F">
        <w:t xml:space="preserve">establish </w:t>
      </w:r>
      <w:r w:rsidRPr="00AD151D">
        <w:t xml:space="preserve">reserve requirements </w:t>
      </w:r>
      <w:r w:rsidR="006C5D7A">
        <w:t>for</w:t>
      </w:r>
      <w:r w:rsidR="006C5D7A" w:rsidRPr="00AD151D">
        <w:t xml:space="preserve"> </w:t>
      </w:r>
      <w:r w:rsidRPr="00AD151D">
        <w:t>California Public Utilities Commission (CPUC) jurisdictional Load Serving Entities (LSEs).</w:t>
      </w:r>
      <w:r w:rsidRPr="00AD151D">
        <w:rPr>
          <w:rStyle w:val="FootnoteReference"/>
        </w:rPr>
        <w:footnoteReference w:id="1"/>
      </w:r>
      <w:r w:rsidRPr="00AD151D">
        <w:t xml:space="preserve">  This Report provides a review of the CPUC’s RA program, summarizing RA program experience during the 2011 RA compliance year.  While this report does not make explicit policy recommendations, it is intended to provide factual information relevant to the currently open RA rulemaking (R.11-10-023) and ongoing implementation of the RA program in California.  </w:t>
      </w:r>
    </w:p>
    <w:p w:rsidR="00AE7D50" w:rsidRPr="00AD151D" w:rsidRDefault="00AE7D50">
      <w:pPr>
        <w:spacing w:before="120"/>
        <w:ind w:firstLine="720"/>
      </w:pPr>
      <w:r w:rsidRPr="00AD151D">
        <w:t>Each year, the RA program requires LSEs to submit a Year-Ahead filing due in October and twelve Month-Ahead filings during the compliance year.  In 2011, the RA program worked as intended</w:t>
      </w:r>
      <w:r w:rsidR="00A54B87">
        <w:t xml:space="preserve"> and</w:t>
      </w:r>
      <w:r w:rsidR="00F9107F">
        <w:t xml:space="preserve"> s</w:t>
      </w:r>
      <w:r w:rsidR="00F46FD4">
        <w:t>ufficient resources were available to meet peak load and contingencies.</w:t>
      </w:r>
    </w:p>
    <w:p w:rsidR="00AE7D50" w:rsidRPr="00AD151D" w:rsidRDefault="00AE7D50">
      <w:pPr>
        <w:spacing w:before="120"/>
        <w:ind w:firstLine="720"/>
      </w:pPr>
      <w:r w:rsidRPr="00AD151D">
        <w:t>Peak</w:t>
      </w:r>
      <w:r w:rsidR="00732319" w:rsidRPr="00AD151D">
        <w:t xml:space="preserve"> </w:t>
      </w:r>
      <w:r w:rsidRPr="00AD151D">
        <w:t xml:space="preserve">Demand was forecasted to occur in August 2011 </w:t>
      </w:r>
      <w:r w:rsidRPr="00F4122E">
        <w:t>at 48</w:t>
      </w:r>
      <w:r w:rsidR="00F4122E">
        <w:t>,</w:t>
      </w:r>
      <w:r w:rsidR="007B209F" w:rsidRPr="00F4122E">
        <w:t xml:space="preserve">726 </w:t>
      </w:r>
      <w:r w:rsidRPr="00F4122E">
        <w:t>MW</w:t>
      </w:r>
      <w:r w:rsidR="00F4122E" w:rsidRPr="00277DC8">
        <w:rPr>
          <w:rStyle w:val="FootnoteReference"/>
        </w:rPr>
        <w:footnoteReference w:id="2"/>
      </w:r>
      <w:r w:rsidR="00691252" w:rsidRPr="00F4122E">
        <w:t>.</w:t>
      </w:r>
      <w:r w:rsidR="00EE6A9F" w:rsidRPr="00F4122E" w:rsidDel="00EE6A9F">
        <w:t xml:space="preserve"> </w:t>
      </w:r>
      <w:r w:rsidR="00F9107F" w:rsidRPr="00F4122E">
        <w:t xml:space="preserve"> The</w:t>
      </w:r>
      <w:r w:rsidR="00F9107F">
        <w:t xml:space="preserve"> RA capacity procurement to meet peak demand in August totaled 56,714 MWs</w:t>
      </w:r>
      <w:r w:rsidR="00F9107F" w:rsidRPr="00AD151D">
        <w:rPr>
          <w:rStyle w:val="FootnoteReference"/>
        </w:rPr>
        <w:t xml:space="preserve"> </w:t>
      </w:r>
      <w:r w:rsidR="005D1B72" w:rsidRPr="00AD151D">
        <w:rPr>
          <w:rStyle w:val="FootnoteReference"/>
        </w:rPr>
        <w:footnoteReference w:id="3"/>
      </w:r>
      <w:r w:rsidR="00EE6A9F">
        <w:t>.</w:t>
      </w:r>
      <w:r w:rsidR="00F9107F">
        <w:t xml:space="preserve"> </w:t>
      </w:r>
      <w:r w:rsidR="007B209F">
        <w:t xml:space="preserve"> </w:t>
      </w:r>
      <w:r w:rsidR="00F9107F">
        <w:t xml:space="preserve">Of this </w:t>
      </w:r>
      <w:r w:rsidRPr="00AD151D">
        <w:t>CPUC jurisdictional LSEs procured 48,461 MW</w:t>
      </w:r>
      <w:r w:rsidR="005D1B72">
        <w:t xml:space="preserve"> of RA capacity</w:t>
      </w:r>
      <w:r w:rsidR="005D1B72" w:rsidRPr="00AD151D">
        <w:rPr>
          <w:rStyle w:val="FootnoteReference"/>
        </w:rPr>
        <w:footnoteReference w:id="4"/>
      </w:r>
      <w:r w:rsidR="00B07A8B">
        <w:t>.</w:t>
      </w:r>
      <w:r w:rsidRPr="00AD151D">
        <w:t xml:space="preserve">  </w:t>
      </w:r>
    </w:p>
    <w:p w:rsidR="00A54B87" w:rsidRDefault="007B209F" w:rsidP="00F00219">
      <w:pPr>
        <w:spacing w:before="120"/>
        <w:ind w:firstLine="720"/>
      </w:pPr>
      <w:r w:rsidRPr="00AD151D">
        <w:t>Actual peak load for 2011 occurred in September at 45,569 MW</w:t>
      </w:r>
      <w:r>
        <w:t xml:space="preserve">, and </w:t>
      </w:r>
      <w:r w:rsidR="00A54B87">
        <w:t xml:space="preserve">corresponding </w:t>
      </w:r>
      <w:r w:rsidRPr="00AD151D">
        <w:t>capacity resources procured by all LSEs (CPUC jurisdictional and non-CPUC jurisdictional) totaled 53,079</w:t>
      </w:r>
      <w:r w:rsidR="00F00219">
        <w:rPr>
          <w:rStyle w:val="FootnoteReference"/>
        </w:rPr>
        <w:footnoteReference w:id="5"/>
      </w:r>
      <w:r w:rsidRPr="00AD151D">
        <w:t xml:space="preserve"> MW.  </w:t>
      </w:r>
      <w:r>
        <w:t xml:space="preserve">During </w:t>
      </w:r>
      <w:r w:rsidR="00F00219">
        <w:t xml:space="preserve">September </w:t>
      </w:r>
      <w:r w:rsidR="00AE7D50" w:rsidRPr="00AD151D">
        <w:t>CPUC jurisdictional LSEs were collectively required to procure 43,768</w:t>
      </w:r>
      <w:r w:rsidR="00732319" w:rsidRPr="00AD151D">
        <w:rPr>
          <w:rStyle w:val="FootnoteReference"/>
        </w:rPr>
        <w:footnoteReference w:id="6"/>
      </w:r>
      <w:r w:rsidR="00AE7D50" w:rsidRPr="00AD151D">
        <w:t xml:space="preserve"> MW of resources to meet expected system needs </w:t>
      </w:r>
      <w:r w:rsidR="00663C4D" w:rsidRPr="00AD151D">
        <w:t xml:space="preserve">(which included </w:t>
      </w:r>
      <w:r w:rsidR="00AE7D50" w:rsidRPr="00AD151D">
        <w:t>a 15 percent reserve margin</w:t>
      </w:r>
      <w:r w:rsidR="00663C4D" w:rsidRPr="00AD151D">
        <w:t>)</w:t>
      </w:r>
      <w:r w:rsidR="00AE7D50" w:rsidRPr="00AD151D">
        <w:t xml:space="preserve">.  These LSEs procured </w:t>
      </w:r>
      <w:r w:rsidR="00F00219">
        <w:t xml:space="preserve">1,119 MWs in </w:t>
      </w:r>
      <w:r w:rsidR="00AE7D50" w:rsidRPr="00AD151D">
        <w:t>excess of the total System Resource Adequacy Requirement (RAR), or 44,786</w:t>
      </w:r>
      <w:r w:rsidR="00732319" w:rsidRPr="00AD151D">
        <w:rPr>
          <w:rStyle w:val="FootnoteReference"/>
        </w:rPr>
        <w:footnoteReference w:id="7"/>
      </w:r>
      <w:r w:rsidR="00AE7D50" w:rsidRPr="00AD151D">
        <w:t xml:space="preserve"> MW.  </w:t>
      </w:r>
    </w:p>
    <w:p w:rsidR="00AE7D50" w:rsidRPr="00AD151D" w:rsidRDefault="00663C4D" w:rsidP="00F00219">
      <w:pPr>
        <w:spacing w:before="120"/>
        <w:ind w:firstLine="720"/>
      </w:pPr>
      <w:r w:rsidRPr="00AD151D">
        <w:t xml:space="preserve">LSEs fulfilled their </w:t>
      </w:r>
      <w:r w:rsidR="00AE7D50" w:rsidRPr="00AD151D">
        <w:t xml:space="preserve">Local RA obligations during 2011 compliance year.  </w:t>
      </w:r>
      <w:r w:rsidR="00EE6A9F">
        <w:t>Local RA procurement obligations d</w:t>
      </w:r>
      <w:r w:rsidR="00AE7D50" w:rsidRPr="00AD151D">
        <w:t xml:space="preserve">uring 2011 </w:t>
      </w:r>
      <w:r w:rsidR="00EE6A9F">
        <w:t>of</w:t>
      </w:r>
      <w:r w:rsidR="00EE6A9F" w:rsidRPr="00AD151D">
        <w:t xml:space="preserve"> 21,502 MW</w:t>
      </w:r>
      <w:r w:rsidR="00EE6A9F" w:rsidRPr="00AD151D">
        <w:rPr>
          <w:rStyle w:val="FootnoteReference"/>
        </w:rPr>
        <w:footnoteReference w:id="8"/>
      </w:r>
      <w:r w:rsidR="00EE6A9F">
        <w:t xml:space="preserve"> for </w:t>
      </w:r>
      <w:r w:rsidR="00AE7D50" w:rsidRPr="00AD151D">
        <w:t xml:space="preserve">CPUC jurisdictional LSEs </w:t>
      </w:r>
      <w:r w:rsidR="00EE6A9F">
        <w:t xml:space="preserve">were met with </w:t>
      </w:r>
      <w:r w:rsidR="00AE7D50" w:rsidRPr="00AD151D">
        <w:t>24,626 MW of RA capacity from physical resources.</w:t>
      </w:r>
      <w:r w:rsidR="00AE7D50" w:rsidRPr="00AD151D">
        <w:rPr>
          <w:rStyle w:val="FootnoteReference"/>
        </w:rPr>
        <w:footnoteReference w:id="9"/>
      </w:r>
      <w:r w:rsidR="00AE7D50" w:rsidRPr="00AD151D">
        <w:t xml:space="preserve">  </w:t>
      </w:r>
      <w:r w:rsidR="006C0354">
        <w:t xml:space="preserve">Because </w:t>
      </w:r>
      <w:r w:rsidR="008B117F">
        <w:t>sufficient</w:t>
      </w:r>
      <w:r w:rsidR="00EE6A9F">
        <w:t xml:space="preserve"> RA capacity procurement met all</w:t>
      </w:r>
      <w:r w:rsidR="008B117F">
        <w:t xml:space="preserve"> local RA obligations </w:t>
      </w:r>
      <w:r w:rsidR="0033102F">
        <w:t>the CAISO too</w:t>
      </w:r>
      <w:r w:rsidR="00A60437">
        <w:t>k</w:t>
      </w:r>
      <w:r w:rsidR="0033102F">
        <w:t xml:space="preserve"> </w:t>
      </w:r>
      <w:r w:rsidR="008B117F">
        <w:t>no backstop</w:t>
      </w:r>
      <w:r w:rsidR="006C0354">
        <w:t xml:space="preserve"> procurement </w:t>
      </w:r>
      <w:r w:rsidR="0033102F">
        <w:t>actions</w:t>
      </w:r>
      <w:r w:rsidR="00BD5E4A">
        <w:t xml:space="preserve"> caused by RA deficiencies</w:t>
      </w:r>
      <w:r w:rsidR="008B117F">
        <w:t xml:space="preserve">.  </w:t>
      </w:r>
    </w:p>
    <w:p w:rsidR="00A60437" w:rsidRDefault="00A60437">
      <w:pPr>
        <w:spacing w:before="120"/>
        <w:ind w:firstLine="720"/>
      </w:pPr>
      <w:r>
        <w:t>A key to establishing good RA procurement targets starts with good forecasts of demand.  We gauge the reasonableness of LSE for</w:t>
      </w:r>
      <w:r w:rsidR="000063EF">
        <w:t>e</w:t>
      </w:r>
      <w:r>
        <w:t xml:space="preserve">casts by the level of California </w:t>
      </w:r>
      <w:r>
        <w:lastRenderedPageBreak/>
        <w:t xml:space="preserve">Energy Commission </w:t>
      </w:r>
      <w:r w:rsidRPr="00AD151D">
        <w:t>plausibility adjustments</w:t>
      </w:r>
      <w:r>
        <w:rPr>
          <w:rStyle w:val="FootnoteReference"/>
        </w:rPr>
        <w:footnoteReference w:id="10"/>
      </w:r>
      <w:r>
        <w:t>.  In</w:t>
      </w:r>
      <w:r w:rsidRPr="00AD151D">
        <w:t xml:space="preserve"> </w:t>
      </w:r>
      <w:r w:rsidR="00AE7D50" w:rsidRPr="00AD151D">
        <w:t>2011 compliance year</w:t>
      </w:r>
      <w:r w:rsidR="000063EF">
        <w:t xml:space="preserve"> the California Energy Commission (CEC)</w:t>
      </w:r>
      <w:r w:rsidR="00F4122E">
        <w:t xml:space="preserve"> made larger </w:t>
      </w:r>
      <w:r>
        <w:t>plausibility adjustments</w:t>
      </w:r>
      <w:r w:rsidR="00F4122E">
        <w:t xml:space="preserve"> </w:t>
      </w:r>
      <w:r w:rsidR="000063EF">
        <w:t xml:space="preserve">to </w:t>
      </w:r>
      <w:r w:rsidR="00F4122E">
        <w:t xml:space="preserve">certain </w:t>
      </w:r>
      <w:r w:rsidR="000063EF">
        <w:t>LSE forecasts</w:t>
      </w:r>
      <w:r w:rsidR="00AE7D50" w:rsidRPr="00AD151D">
        <w:t xml:space="preserve"> </w:t>
      </w:r>
      <w:r w:rsidR="000063EF">
        <w:t xml:space="preserve">indicating </w:t>
      </w:r>
      <w:r w:rsidR="00F4122E">
        <w:t>uncertainty over customer migration due to reopening of Direct Access.</w:t>
      </w:r>
      <w:r w:rsidR="00AE7D50" w:rsidRPr="00AD151D">
        <w:t xml:space="preserve">  </w:t>
      </w:r>
    </w:p>
    <w:p w:rsidR="00AE7D50" w:rsidRPr="00AD151D" w:rsidRDefault="0033102F">
      <w:pPr>
        <w:spacing w:before="120"/>
        <w:ind w:firstLine="720"/>
      </w:pPr>
      <w:r>
        <w:t xml:space="preserve">The </w:t>
      </w:r>
      <w:r w:rsidR="00AE7D50" w:rsidRPr="00AD151D">
        <w:t xml:space="preserve">Commission decision </w:t>
      </w:r>
      <w:r w:rsidR="00D519D7">
        <w:t>(</w:t>
      </w:r>
      <w:r w:rsidR="00AE7D50" w:rsidRPr="00AD151D">
        <w:t>D.</w:t>
      </w:r>
      <w:r w:rsidR="00D519D7">
        <w:t>)</w:t>
      </w:r>
      <w:r w:rsidR="00AE7D50" w:rsidRPr="00AD151D">
        <w:t>10-03-022</w:t>
      </w:r>
      <w:r w:rsidR="00F4122E">
        <w:t xml:space="preserve"> </w:t>
      </w:r>
      <w:r>
        <w:t xml:space="preserve">allowed </w:t>
      </w:r>
      <w:r w:rsidR="00AE7D50" w:rsidRPr="00AD151D">
        <w:t>Direct Access (DA) customers to migrate freely between LSEs, result</w:t>
      </w:r>
      <w:r w:rsidR="00F4122E">
        <w:t>ing</w:t>
      </w:r>
      <w:r w:rsidR="00AE7D50" w:rsidRPr="00AD151D">
        <w:t xml:space="preserve"> in the registration of several new ESPs to serve </w:t>
      </w:r>
      <w:r w:rsidR="006C0354">
        <w:t>DA</w:t>
      </w:r>
      <w:r w:rsidR="00AE7D50" w:rsidRPr="00AD151D">
        <w:t xml:space="preserve"> load in 2011. </w:t>
      </w:r>
      <w:r w:rsidR="00966063">
        <w:t xml:space="preserve"> In 2010 t</w:t>
      </w:r>
      <w:r w:rsidR="00AE7D50" w:rsidRPr="00AD151D">
        <w:t xml:space="preserve">he RA program </w:t>
      </w:r>
      <w:r w:rsidR="00966063">
        <w:t xml:space="preserve">instituted </w:t>
      </w:r>
      <w:r w:rsidR="00AE7D50" w:rsidRPr="00AD151D">
        <w:t>a Local RA True up process</w:t>
      </w:r>
      <w:r w:rsidR="00966063">
        <w:t xml:space="preserve"> to</w:t>
      </w:r>
      <w:r w:rsidR="00AE7D50" w:rsidRPr="00AD151D">
        <w:t xml:space="preserve"> adjust</w:t>
      </w:r>
      <w:r w:rsidR="00966063">
        <w:t xml:space="preserve"> each LSE</w:t>
      </w:r>
      <w:r w:rsidR="00A54B87">
        <w:t>’</w:t>
      </w:r>
      <w:r w:rsidR="00966063">
        <w:t>s</w:t>
      </w:r>
      <w:r w:rsidR="00AE7D50" w:rsidRPr="00AD151D">
        <w:t xml:space="preserve"> Local RA obligations</w:t>
      </w:r>
      <w:r w:rsidR="00966063">
        <w:t xml:space="preserve"> due to </w:t>
      </w:r>
      <w:r>
        <w:t xml:space="preserve">inter LSE load </w:t>
      </w:r>
      <w:r w:rsidR="00966063">
        <w:t xml:space="preserve">shifting </w:t>
      </w:r>
      <w:r>
        <w:t xml:space="preserve">and </w:t>
      </w:r>
      <w:r w:rsidR="00966063">
        <w:t>changes in DA</w:t>
      </w:r>
      <w:r w:rsidR="00AE7D50" w:rsidRPr="00AD151D">
        <w:t xml:space="preserve"> participation. </w:t>
      </w:r>
    </w:p>
    <w:p w:rsidR="00AE7D50" w:rsidRPr="00AD151D" w:rsidRDefault="00A9385F" w:rsidP="00A9385F">
      <w:pPr>
        <w:spacing w:before="120"/>
        <w:ind w:firstLine="720"/>
      </w:pPr>
      <w:r>
        <w:t>In 2011 new g</w:t>
      </w:r>
      <w:r w:rsidR="00966063">
        <w:t>eneration</w:t>
      </w:r>
      <w:r>
        <w:t xml:space="preserve"> of 504 MWs came o</w:t>
      </w:r>
      <w:r w:rsidR="00966063">
        <w:t xml:space="preserve">n line </w:t>
      </w:r>
      <w:r>
        <w:t>comprised mostly of conventional and s</w:t>
      </w:r>
      <w:r w:rsidR="00A54B87">
        <w:t>everal</w:t>
      </w:r>
      <w:r>
        <w:t xml:space="preserve"> </w:t>
      </w:r>
      <w:r w:rsidR="00AE7D50" w:rsidRPr="00AD151D">
        <w:t>small renewable generati</w:t>
      </w:r>
      <w:r>
        <w:t>on</w:t>
      </w:r>
      <w:r w:rsidR="00A54B87">
        <w:t xml:space="preserve"> resources</w:t>
      </w:r>
      <w:r>
        <w:t>.</w:t>
      </w:r>
      <w:r w:rsidR="00AE7D50" w:rsidRPr="00AD151D">
        <w:t xml:space="preserve">  </w:t>
      </w:r>
      <w:r w:rsidR="00A54B87">
        <w:t>The n</w:t>
      </w:r>
      <w:r>
        <w:t>ew conventional resources included the Canyon Power Plant (198MWs)</w:t>
      </w:r>
      <w:r w:rsidR="008E75C4">
        <w:rPr>
          <w:rStyle w:val="FootnoteReference"/>
        </w:rPr>
        <w:footnoteReference w:id="11"/>
      </w:r>
      <w:r>
        <w:t>, and expansions to the Riverside Energy Resource Center (99MWs)</w:t>
      </w:r>
      <w:r w:rsidR="008E75C4">
        <w:rPr>
          <w:rStyle w:val="FootnoteReference"/>
        </w:rPr>
        <w:footnoteReference w:id="12"/>
      </w:r>
      <w:r>
        <w:t>.  Also, 833 MWs of generation retired in 2011, including the remaining three units at the South Bay Power plant (310 MWs)</w:t>
      </w:r>
      <w:r w:rsidR="008E75C4" w:rsidRPr="008E75C4">
        <w:rPr>
          <w:rStyle w:val="FootnoteReference"/>
        </w:rPr>
        <w:t xml:space="preserve"> </w:t>
      </w:r>
      <w:r w:rsidR="008E75C4">
        <w:rPr>
          <w:rStyle w:val="FootnoteReference"/>
        </w:rPr>
        <w:footnoteReference w:id="13"/>
      </w:r>
      <w:r>
        <w:t xml:space="preserve"> and the Potrero Power Plant (362 MWs)</w:t>
      </w:r>
      <w:r w:rsidR="008E75C4">
        <w:rPr>
          <w:rStyle w:val="FootnoteReference"/>
        </w:rPr>
        <w:footnoteReference w:id="14"/>
      </w:r>
      <w:r>
        <w:t>.</w:t>
      </w:r>
      <w:r w:rsidR="00AE7D50" w:rsidRPr="00AD151D">
        <w:t xml:space="preserve">  </w:t>
      </w:r>
      <w:r>
        <w:t>The additions and deletions resulted in an incremental decrease of 329 MWs of Net Qualifying Capacity (NQC).</w:t>
      </w:r>
    </w:p>
    <w:p w:rsidR="00AE7D50" w:rsidRPr="00AD151D" w:rsidRDefault="00AE7D50">
      <w:pPr>
        <w:spacing w:before="120"/>
        <w:ind w:firstLine="720"/>
      </w:pPr>
      <w:r w:rsidRPr="00AD151D">
        <w:t>Since the beginning of the Market Redesign and Technology Upgrade (MRTU), C</w:t>
      </w:r>
      <w:r w:rsidR="00C85210">
        <w:t>alifornia Independent System Operator (C</w:t>
      </w:r>
      <w:r w:rsidRPr="00AD151D">
        <w:t>AISO</w:t>
      </w:r>
      <w:r w:rsidR="00010A92">
        <w:t xml:space="preserve">) </w:t>
      </w:r>
      <w:r w:rsidRPr="00AD151D">
        <w:t>altered and automated their unit commitment process</w:t>
      </w:r>
      <w:r w:rsidR="006B7805">
        <w:t xml:space="preserve">. To augment the automated dispatch function, the CAISO </w:t>
      </w:r>
      <w:r w:rsidRPr="00AD151D">
        <w:t xml:space="preserve"> uses Exceptional Dispatch (ExD) for </w:t>
      </w:r>
      <w:r w:rsidR="00663C4D" w:rsidRPr="00AD151D">
        <w:t>most</w:t>
      </w:r>
      <w:r w:rsidRPr="00AD151D">
        <w:t xml:space="preserve"> out of market unit commitments</w:t>
      </w:r>
      <w:r w:rsidR="006B7805">
        <w:t xml:space="preserve"> required when the market run does not fully anticipate all the system reliability needs in the Day Ahead and Real Time markets</w:t>
      </w:r>
      <w:r w:rsidRPr="00AD151D">
        <w:t xml:space="preserve">.  </w:t>
      </w:r>
      <w:r w:rsidR="006B7805">
        <w:t xml:space="preserve">In general </w:t>
      </w:r>
      <w:r w:rsidRPr="00AD151D">
        <w:t xml:space="preserve">ExD </w:t>
      </w:r>
      <w:r w:rsidR="00960862" w:rsidRPr="00AD151D">
        <w:t>M</w:t>
      </w:r>
      <w:r w:rsidR="0033102F">
        <w:t xml:space="preserve">egawatt </w:t>
      </w:r>
      <w:r w:rsidR="00960862" w:rsidRPr="00AD151D">
        <w:t>volume declined slightly between 2010 and 201</w:t>
      </w:r>
      <w:r w:rsidR="0090175C">
        <w:t>1</w:t>
      </w:r>
      <w:r w:rsidR="0033102F">
        <w:t>, t</w:t>
      </w:r>
      <w:r w:rsidR="006B7805">
        <w:t>hough</w:t>
      </w:r>
      <w:r w:rsidR="00960862" w:rsidRPr="00AD151D">
        <w:t xml:space="preserve"> </w:t>
      </w:r>
      <w:r w:rsidR="00687103">
        <w:t xml:space="preserve">some Local Areas saw increases in 2011.  </w:t>
      </w:r>
      <w:r w:rsidRPr="00AD151D">
        <w:t xml:space="preserve">The downward trend in CAISO Reliability Must-Run (RMR) designations documented in earlier RA reports continued </w:t>
      </w:r>
      <w:r w:rsidR="0033102F">
        <w:t>through the</w:t>
      </w:r>
      <w:r w:rsidRPr="00AD151D">
        <w:t xml:space="preserve"> 201</w:t>
      </w:r>
      <w:r w:rsidR="003A04F3" w:rsidRPr="00AD151D">
        <w:t>1</w:t>
      </w:r>
      <w:r w:rsidRPr="00AD151D">
        <w:t xml:space="preserve"> compliance year.  </w:t>
      </w:r>
    </w:p>
    <w:p w:rsidR="0090175C" w:rsidRDefault="00B414BC">
      <w:pPr>
        <w:spacing w:before="120"/>
        <w:ind w:firstLine="720"/>
      </w:pPr>
      <w:r>
        <w:t xml:space="preserve">Because </w:t>
      </w:r>
      <w:r w:rsidRPr="00AD151D">
        <w:t xml:space="preserve">the RA program </w:t>
      </w:r>
      <w:r>
        <w:t>requires</w:t>
      </w:r>
      <w:r w:rsidRPr="00AD151D">
        <w:t xml:space="preserve"> LSE acquisition of capacity to meet load and reserve requirements</w:t>
      </w:r>
      <w:r>
        <w:t>, when</w:t>
      </w:r>
      <w:r w:rsidR="00A54B87">
        <w:t xml:space="preserve"> LSEs do not fully comply</w:t>
      </w:r>
      <w:r>
        <w:rPr>
          <w:rStyle w:val="FootnoteReference"/>
        </w:rPr>
        <w:footnoteReference w:id="15"/>
      </w:r>
      <w:r w:rsidRPr="00AD151D">
        <w:t xml:space="preserve"> </w:t>
      </w:r>
      <w:r>
        <w:t>with RA program rules the Commission issues citations or starts enforcement actions.</w:t>
      </w:r>
      <w:r w:rsidR="00AE7D50" w:rsidRPr="00AD151D">
        <w:t xml:space="preserve">  In total the Commission issued </w:t>
      </w:r>
      <w:r w:rsidR="007C14AD">
        <w:t>two</w:t>
      </w:r>
      <w:r w:rsidR="00AE7D50" w:rsidRPr="00AD151D">
        <w:t xml:space="preserve"> citations for violations related to compliance year 2011 and collected $7,000 in payments from LSEs arising fro</w:t>
      </w:r>
      <w:r w:rsidR="00A54B87">
        <w:t>m these citations.  In addition,</w:t>
      </w:r>
      <w:r w:rsidR="0090175C">
        <w:t xml:space="preserve"> the Commission started </w:t>
      </w:r>
      <w:r w:rsidR="00AE7D50" w:rsidRPr="00AD151D">
        <w:t xml:space="preserve">one enforcement case </w:t>
      </w:r>
      <w:r w:rsidR="007C14AD">
        <w:t>that</w:t>
      </w:r>
      <w:r w:rsidR="00AE7D50" w:rsidRPr="00AD151D">
        <w:t xml:space="preserve"> settled in February 2012</w:t>
      </w:r>
      <w:r w:rsidR="00A54B87">
        <w:t xml:space="preserve"> for</w:t>
      </w:r>
      <w:r w:rsidR="00AE7D50" w:rsidRPr="00AD151D">
        <w:t xml:space="preserve"> </w:t>
      </w:r>
      <w:r w:rsidR="00AB2D29" w:rsidRPr="00AD151D">
        <w:t xml:space="preserve">assessed </w:t>
      </w:r>
      <w:r w:rsidR="00AE7D50" w:rsidRPr="00AD151D">
        <w:t xml:space="preserve">penalties of $215,000.  </w:t>
      </w:r>
    </w:p>
    <w:p w:rsidR="00D00CEF" w:rsidRPr="00AD151D" w:rsidRDefault="0090175C">
      <w:pPr>
        <w:spacing w:before="120"/>
        <w:ind w:firstLine="720"/>
      </w:pPr>
      <w:r>
        <w:t>T</w:t>
      </w:r>
      <w:r w:rsidR="007C14AD">
        <w:t>o ensure and facilitate that</w:t>
      </w:r>
      <w:r w:rsidR="00AE7D50" w:rsidRPr="00AD151D">
        <w:t xml:space="preserve"> LSEs demonstrate procurement of valid RA capacity</w:t>
      </w:r>
      <w:r w:rsidR="007C14AD">
        <w:t xml:space="preserve"> per their RA obligations</w:t>
      </w:r>
      <w:r w:rsidR="00F16361">
        <w:t xml:space="preserve"> in 2010</w:t>
      </w:r>
      <w:r w:rsidR="00AE7D50" w:rsidRPr="00AD151D">
        <w:t xml:space="preserve"> </w:t>
      </w:r>
      <w:r w:rsidR="007C14AD">
        <w:t xml:space="preserve">the </w:t>
      </w:r>
      <w:r w:rsidR="00AE7D50" w:rsidRPr="00AD151D">
        <w:t>CAISO implement</w:t>
      </w:r>
      <w:r w:rsidR="00F16361">
        <w:t>ed</w:t>
      </w:r>
      <w:r w:rsidR="00AE7D50" w:rsidRPr="00AD151D">
        <w:t xml:space="preserve"> the Standard Capacity Product (SCP)</w:t>
      </w:r>
      <w:r w:rsidR="00F16361">
        <w:t xml:space="preserve"> tariff which includes</w:t>
      </w:r>
      <w:r w:rsidR="00AE7D50" w:rsidRPr="00AD151D">
        <w:t xml:space="preserve"> performance and availability penalties </w:t>
      </w:r>
      <w:r w:rsidR="00F16361">
        <w:t xml:space="preserve">that remained in effect in </w:t>
      </w:r>
      <w:r w:rsidR="0033102F">
        <w:t>2011.</w:t>
      </w:r>
      <w:r w:rsidR="00F16361">
        <w:t xml:space="preserve">  </w:t>
      </w:r>
    </w:p>
    <w:p w:rsidR="00AE7D50" w:rsidRPr="00AD151D" w:rsidRDefault="00AE7D50" w:rsidP="00D00CEF">
      <w:pPr>
        <w:pStyle w:val="Heading1"/>
        <w:numPr>
          <w:ilvl w:val="0"/>
          <w:numId w:val="18"/>
        </w:numPr>
      </w:pPr>
      <w:bookmarkStart w:id="11" w:name="_Toc225044600"/>
      <w:bookmarkStart w:id="12" w:name="_Toc224646386"/>
      <w:bookmarkStart w:id="13" w:name="_Toc224646471"/>
      <w:bookmarkStart w:id="14" w:name="_Toc224646750"/>
      <w:bookmarkStart w:id="15" w:name="_Toc224713567"/>
      <w:bookmarkStart w:id="16" w:name="_Toc224646394"/>
      <w:bookmarkStart w:id="17" w:name="_Toc224646479"/>
      <w:bookmarkStart w:id="18" w:name="_Toc224646546"/>
      <w:bookmarkStart w:id="19" w:name="_Toc224646758"/>
      <w:bookmarkStart w:id="20" w:name="_Toc224646825"/>
      <w:bookmarkStart w:id="21" w:name="_Toc224713575"/>
      <w:bookmarkStart w:id="22" w:name="_Toc224725368"/>
      <w:bookmarkStart w:id="23" w:name="_Toc223253248"/>
      <w:bookmarkStart w:id="24" w:name="_Toc223315656"/>
      <w:bookmarkStart w:id="25" w:name="_Toc224022431"/>
      <w:bookmarkStart w:id="26" w:name="_Toc347827042"/>
      <w:bookmarkEnd w:id="11"/>
      <w:bookmarkEnd w:id="12"/>
      <w:bookmarkEnd w:id="13"/>
      <w:bookmarkEnd w:id="14"/>
      <w:bookmarkEnd w:id="15"/>
      <w:bookmarkEnd w:id="16"/>
      <w:bookmarkEnd w:id="17"/>
      <w:bookmarkEnd w:id="18"/>
      <w:bookmarkEnd w:id="19"/>
      <w:bookmarkEnd w:id="20"/>
      <w:bookmarkEnd w:id="21"/>
      <w:bookmarkEnd w:id="22"/>
      <w:r w:rsidRPr="00AD151D">
        <w:lastRenderedPageBreak/>
        <w:t>Load Forecast and Resource Adequacy Program Requirements</w:t>
      </w:r>
      <w:bookmarkEnd w:id="23"/>
      <w:bookmarkEnd w:id="24"/>
      <w:bookmarkEnd w:id="25"/>
      <w:bookmarkEnd w:id="26"/>
      <w:r w:rsidRPr="00AD151D">
        <w:tab/>
      </w:r>
    </w:p>
    <w:p w:rsidR="00AE7D50" w:rsidRPr="00AD151D" w:rsidRDefault="00AE7D50">
      <w:pPr>
        <w:spacing w:before="120"/>
        <w:ind w:firstLine="720"/>
      </w:pPr>
      <w:r w:rsidRPr="00AD151D">
        <w:t xml:space="preserve">Each year the RA program requires LSEs to submit a series of filings including load forecasts and RA compliance showings.  Generally, LSEs file year ahead filings in October and twelve Month-Ahead filings due monthly during the compliance year.  Each compliance filing is preceded by a load forecast for the same period.  </w:t>
      </w:r>
    </w:p>
    <w:p w:rsidR="00AE7D50" w:rsidRPr="00AD151D" w:rsidRDefault="00AE7D50">
      <w:pPr>
        <w:spacing w:before="120"/>
        <w:ind w:firstLine="720"/>
      </w:pPr>
      <w:r w:rsidRPr="00AD151D">
        <w:t xml:space="preserve">In 2011, the RA program worked as intended, providing LSEs with timely information on RA Requirements and an opportunity to make adjustments.  Both customer migration adjustments and plausibility adjustments continued to decrease relative to previous years, although uncertainty related to the reopening of direct access led to increased plausibility adjustments in 2011.  </w:t>
      </w:r>
    </w:p>
    <w:p w:rsidR="00AE7D50" w:rsidRPr="0089481D" w:rsidRDefault="00AE7D50">
      <w:pPr>
        <w:pStyle w:val="Heading2"/>
        <w:numPr>
          <w:ilvl w:val="1"/>
          <w:numId w:val="18"/>
        </w:numPr>
        <w:rPr>
          <w:i w:val="0"/>
        </w:rPr>
      </w:pPr>
      <w:bookmarkStart w:id="27" w:name="_Toc224022432"/>
      <w:bookmarkStart w:id="28" w:name="_Toc347827043"/>
      <w:r w:rsidRPr="0089481D">
        <w:rPr>
          <w:i w:val="0"/>
        </w:rPr>
        <w:t>Yearly and Monthly Load Forecast Process</w:t>
      </w:r>
      <w:bookmarkEnd w:id="27"/>
      <w:bookmarkEnd w:id="28"/>
      <w:r w:rsidRPr="0089481D">
        <w:rPr>
          <w:i w:val="0"/>
        </w:rPr>
        <w:t xml:space="preserve"> </w:t>
      </w:r>
    </w:p>
    <w:p w:rsidR="00AE7D50" w:rsidRPr="00AD151D" w:rsidRDefault="00AE7D50">
      <w:pPr>
        <w:spacing w:before="120"/>
        <w:ind w:firstLine="720"/>
      </w:pPr>
      <w:r w:rsidRPr="00AD151D">
        <w:t>The RA program relies on a process of LSE forecasts</w:t>
      </w:r>
      <w:r w:rsidR="0090175C">
        <w:t xml:space="preserve"> that </w:t>
      </w:r>
      <w:r w:rsidRPr="00AD151D">
        <w:t>CEC compar</w:t>
      </w:r>
      <w:r w:rsidR="0090175C">
        <w:t>es</w:t>
      </w:r>
      <w:r w:rsidRPr="00AD151D">
        <w:t xml:space="preserve"> to historical load data and trends to establish each LSE’s RA Requirement.  In order to establish the System RA Requirement, CEC staff review load forecasts submitted by each LSE, reconcile those load forecasts against its own forecast for the entire IOU service territories, and generate</w:t>
      </w:r>
      <w:r w:rsidR="0090175C">
        <w:t>s</w:t>
      </w:r>
      <w:r w:rsidRPr="00AD151D">
        <w:t xml:space="preserve"> individual </w:t>
      </w:r>
      <w:r w:rsidR="0090175C">
        <w:t xml:space="preserve">monthly </w:t>
      </w:r>
      <w:r w:rsidRPr="00AD151D">
        <w:t>load forecast for each LSE.  For the 2011 Year-Ahead System RA filings, CPUC staff sent a spreadsheet containing Local RA obligations, final load forecasts, and allocations for DR, RMR, and Capacity Allocation Mechanism (CAM) resources to each LSE via password protected email on July 30, 2010.</w:t>
      </w:r>
      <w:r w:rsidRPr="00AD151D">
        <w:rPr>
          <w:rStyle w:val="FootnoteReference"/>
        </w:rPr>
        <w:footnoteReference w:id="16"/>
      </w:r>
      <w:r w:rsidRPr="00AD151D">
        <w:t xml:space="preserve">  </w:t>
      </w:r>
    </w:p>
    <w:p w:rsidR="00FB2ADC" w:rsidRDefault="00AE7D50" w:rsidP="00277DC8">
      <w:pPr>
        <w:keepNext/>
        <w:spacing w:before="120"/>
        <w:ind w:firstLine="720"/>
      </w:pPr>
      <w:r w:rsidRPr="00AD151D">
        <w:t xml:space="preserve">CPUC jurisdictional LSEs submitted their Year-Ahead compliance filings on or before October 31, 2011; Energy Division evaluated the Year-Ahead RA filings for compliance.  </w:t>
      </w:r>
      <w:r w:rsidR="005243B3" w:rsidRPr="00AD151D">
        <w:t>Each LSE’s Year-Ahead System RA obligation was based on two levels of load forecasting produced by the LSEs and the CEC.  D</w:t>
      </w:r>
      <w:r w:rsidR="005243B3">
        <w:t>.</w:t>
      </w:r>
      <w:r w:rsidR="005243B3" w:rsidRPr="00AD151D">
        <w:t>05-10-042 required LSEs to submit historical sales figures and forecast</w:t>
      </w:r>
      <w:r w:rsidR="0090175C">
        <w:t>s</w:t>
      </w:r>
      <w:r w:rsidR="005243B3" w:rsidRPr="00AD151D">
        <w:t xml:space="preserve"> for the following compliance year based on a reasonable assumption</w:t>
      </w:r>
      <w:r w:rsidR="0090175C">
        <w:t>s for</w:t>
      </w:r>
      <w:r w:rsidR="005243B3" w:rsidRPr="00AD151D">
        <w:t xml:space="preserve"> load growth and customer retention.</w:t>
      </w:r>
      <w:r w:rsidR="005243B3" w:rsidRPr="00AD151D">
        <w:rPr>
          <w:rStyle w:val="FootnoteReference"/>
        </w:rPr>
        <w:t xml:space="preserve"> </w:t>
      </w:r>
      <w:r w:rsidR="005243B3" w:rsidRPr="00AD151D">
        <w:rPr>
          <w:rStyle w:val="FootnoteReference"/>
        </w:rPr>
        <w:footnoteReference w:id="17"/>
      </w:r>
      <w:r w:rsidR="005243B3" w:rsidRPr="00AD151D">
        <w:t xml:space="preserve">  This is referred to as the “Best Estimate” approach. </w:t>
      </w:r>
      <w:r w:rsidR="00AF07E7" w:rsidRPr="00AD151D">
        <w:t xml:space="preserve">After the Year-Ahead forecast process, LSEs adjust their load forecasts during the compliance year to account for load migration.  </w:t>
      </w:r>
    </w:p>
    <w:p w:rsidR="00AF07E7" w:rsidRDefault="00AF07E7" w:rsidP="00277DC8">
      <w:pPr>
        <w:keepNext/>
        <w:spacing w:before="120"/>
        <w:ind w:firstLine="720"/>
      </w:pPr>
      <w:r w:rsidRPr="00AD151D">
        <w:t>D.05-10-042 outlined a process whereby LSEs adjust their load forecasts on a monthly basis.  The CPUC directed the LSEs to submit revised forecasts two months prior to the filing month, as discussed in the RA Guide for 2011 compliance year.</w:t>
      </w:r>
      <w:r w:rsidRPr="00AD151D">
        <w:rPr>
          <w:rStyle w:val="FootnoteReference"/>
        </w:rPr>
        <w:footnoteReference w:id="18"/>
      </w:r>
      <w:r w:rsidRPr="00AD151D">
        <w:t xml:space="preserve">  These load forecast adjustments are solely for the purpose of accounting for load migration between LSEs, not changing demographic or electrical conditions.  </w:t>
      </w:r>
    </w:p>
    <w:p w:rsidR="00AE7D50" w:rsidRPr="00AD151D" w:rsidRDefault="005243B3" w:rsidP="00277DC8">
      <w:pPr>
        <w:keepNext/>
        <w:spacing w:before="120"/>
        <w:ind w:firstLine="720"/>
      </w:pPr>
      <w:r>
        <w:t>LSEs submit t</w:t>
      </w:r>
      <w:r w:rsidRPr="00AD151D">
        <w:t>hese forecasts to the CEC for evaluation; the CEC adjust</w:t>
      </w:r>
      <w:r>
        <w:t>s</w:t>
      </w:r>
      <w:r w:rsidRPr="00AD151D">
        <w:t xml:space="preserve"> for transmission losses and</w:t>
      </w:r>
      <w:r w:rsidR="0090175C">
        <w:t xml:space="preserve"> customer</w:t>
      </w:r>
      <w:r w:rsidRPr="00AD151D">
        <w:t xml:space="preserve"> load migrat</w:t>
      </w:r>
      <w:r w:rsidR="0090175C">
        <w:t>ing back</w:t>
      </w:r>
      <w:r w:rsidRPr="00AD151D">
        <w:t xml:space="preserve"> to IOU service from direct access ESPs.  The CEC adjusted some individual LSE forecasts for plausibility </w:t>
      </w:r>
      <w:r>
        <w:t>when</w:t>
      </w:r>
      <w:r w:rsidRPr="00AD151D">
        <w:t xml:space="preserve"> the LSE submitted forecast </w:t>
      </w:r>
      <w:r>
        <w:t xml:space="preserve">diverge </w:t>
      </w:r>
      <w:r w:rsidRPr="00AD151D">
        <w:t xml:space="preserve"> unreasonably from the LSE’s actual peak loads or the LSE’s historical usage.  With that said, load migration can have very large effects on LSE </w:t>
      </w:r>
      <w:r w:rsidRPr="00AD151D">
        <w:lastRenderedPageBreak/>
        <w:t xml:space="preserve">forecasts, particularly </w:t>
      </w:r>
      <w:r>
        <w:t xml:space="preserve">small </w:t>
      </w:r>
      <w:r w:rsidRPr="00AD151D">
        <w:t xml:space="preserve">ESP forecasts.  As specified by D.05-10-042, adjustments were made to account for the impact of energy efficiency (EE), distributed generation (DG) and coincidence of peak load. </w:t>
      </w:r>
    </w:p>
    <w:p w:rsidR="00AE7D50" w:rsidRPr="00AD151D" w:rsidRDefault="00AE7D50">
      <w:pPr>
        <w:pStyle w:val="Heading3"/>
        <w:numPr>
          <w:ilvl w:val="2"/>
          <w:numId w:val="18"/>
        </w:numPr>
      </w:pPr>
      <w:bookmarkStart w:id="29" w:name="_Toc224022433"/>
      <w:bookmarkStart w:id="30" w:name="_Ref225247942"/>
      <w:bookmarkStart w:id="31" w:name="_Toc347827044"/>
      <w:r w:rsidRPr="00AD151D">
        <w:t xml:space="preserve">Yearly Load Forecast </w:t>
      </w:r>
      <w:r w:rsidR="005243B3">
        <w:t>Results</w:t>
      </w:r>
      <w:bookmarkEnd w:id="29"/>
      <w:bookmarkEnd w:id="30"/>
      <w:bookmarkEnd w:id="31"/>
    </w:p>
    <w:p w:rsidR="00AE7D50" w:rsidRPr="00AD151D" w:rsidRDefault="00F27FC0">
      <w:pPr>
        <w:widowControl w:val="0"/>
        <w:spacing w:before="120"/>
        <w:ind w:firstLine="720"/>
      </w:pPr>
      <w:r w:rsidRPr="00AD151D">
        <w:fldChar w:fldCharType="begin"/>
      </w:r>
      <w:r w:rsidRPr="00AD151D">
        <w:instrText xml:space="preserve"> REF _Ref225160480 \h  \* MERGEFORMAT </w:instrText>
      </w:r>
      <w:r w:rsidRPr="00AD151D">
        <w:fldChar w:fldCharType="separate"/>
      </w:r>
      <w:r w:rsidR="00B3535E" w:rsidRPr="00AD151D">
        <w:t xml:space="preserve">Table </w:t>
      </w:r>
      <w:r w:rsidR="00B3535E">
        <w:t>1</w:t>
      </w:r>
      <w:r w:rsidRPr="00AD151D">
        <w:fldChar w:fldCharType="end"/>
      </w:r>
      <w:r w:rsidR="00AE7D50" w:rsidRPr="00AD151D">
        <w:t xml:space="preserve"> shows the aggregate LSE submissions for 2011 and the adjustments that were made across all three IOU service areas.  Because the historic and forecast data submitted by participating LSEs contain market sensitive information, results are discussed and presented in aggregate.  These adjustments in</w:t>
      </w:r>
      <w:r w:rsidR="00C44BBC" w:rsidRPr="00AD151D">
        <w:t>clude plausibility adjustments</w:t>
      </w:r>
      <w:r w:rsidR="00AE7D50" w:rsidRPr="00AD151D">
        <w:t>, demand side management adjustments, and a</w:t>
      </w:r>
      <w:r w:rsidR="00691252" w:rsidRPr="00AD151D">
        <w:t xml:space="preserve"> prorated</w:t>
      </w:r>
      <w:r w:rsidR="00AE7D50" w:rsidRPr="00AD151D">
        <w:t xml:space="preserve"> adjustment to </w:t>
      </w:r>
      <w:r w:rsidR="00C44BBC" w:rsidRPr="00AD151D">
        <w:t xml:space="preserve">each LSE’s forecast to </w:t>
      </w:r>
      <w:r w:rsidR="00AE7D50" w:rsidRPr="00AD151D">
        <w:t xml:space="preserve">bring the total forecasts within one percent of the CEC’s service area forecasts.  Finally, aggregate service area forecasts were adjusted </w:t>
      </w:r>
      <w:r w:rsidR="00C44BBC" w:rsidRPr="00AD151D">
        <w:t xml:space="preserve">to produce a forecast of each LSE’s contribution towards coincident service area </w:t>
      </w:r>
      <w:r w:rsidR="00AE7D50" w:rsidRPr="00AD151D">
        <w:t>peak.  The forecast for CPUC jurisdictional LSEs showed an expected peak in August 2011 at 44,847 MW, which represents a .3% decrease from the peak forecast of 44,979 MW in 2010.</w:t>
      </w:r>
      <w:r w:rsidR="00AE7D50" w:rsidRPr="00AD151D">
        <w:rPr>
          <w:rStyle w:val="FootnoteReference"/>
        </w:rPr>
        <w:footnoteReference w:id="19"/>
      </w:r>
      <w:r w:rsidR="00AE7D50" w:rsidRPr="00AD151D">
        <w:t xml:space="preserve">   </w:t>
      </w:r>
    </w:p>
    <w:p w:rsidR="00AE7D50" w:rsidRPr="00AD151D" w:rsidRDefault="00AE7D50">
      <w:pPr>
        <w:pStyle w:val="Caption"/>
        <w:keepNext/>
        <w:keepLines/>
        <w:spacing w:before="120"/>
      </w:pPr>
      <w:bookmarkStart w:id="32" w:name="_Ref225160480"/>
      <w:bookmarkStart w:id="33" w:name="_Toc347827071"/>
      <w:r w:rsidRPr="00AD151D">
        <w:t xml:space="preserve">Table </w:t>
      </w:r>
      <w:r w:rsidR="00B3535E">
        <w:fldChar w:fldCharType="begin"/>
      </w:r>
      <w:r w:rsidR="00B3535E">
        <w:instrText xml:space="preserve"> SEQ Table \* ARABIC </w:instrText>
      </w:r>
      <w:r w:rsidR="00B3535E">
        <w:fldChar w:fldCharType="separate"/>
      </w:r>
      <w:r w:rsidR="00B3535E">
        <w:rPr>
          <w:noProof/>
        </w:rPr>
        <w:t>1</w:t>
      </w:r>
      <w:r w:rsidR="00B3535E">
        <w:rPr>
          <w:noProof/>
        </w:rPr>
        <w:fldChar w:fldCharType="end"/>
      </w:r>
      <w:bookmarkEnd w:id="32"/>
      <w:r w:rsidRPr="00AD151D">
        <w:t>. 2011 Aggregated Load Forecast Data (MW)</w:t>
      </w:r>
      <w:bookmarkEnd w:id="33"/>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170"/>
        <w:gridCol w:w="630"/>
        <w:gridCol w:w="630"/>
        <w:gridCol w:w="630"/>
        <w:gridCol w:w="540"/>
        <w:gridCol w:w="540"/>
        <w:gridCol w:w="540"/>
        <w:gridCol w:w="540"/>
        <w:gridCol w:w="540"/>
        <w:gridCol w:w="630"/>
        <w:gridCol w:w="540"/>
        <w:gridCol w:w="630"/>
        <w:gridCol w:w="540"/>
        <w:gridCol w:w="598"/>
      </w:tblGrid>
      <w:tr w:rsidR="00AE7D50" w:rsidRPr="00AD151D" w:rsidTr="00C44BBC">
        <w:trPr>
          <w:trHeight w:val="178"/>
        </w:trPr>
        <w:tc>
          <w:tcPr>
            <w:tcW w:w="8698" w:type="dxa"/>
            <w:gridSpan w:val="14"/>
            <w:noWrap/>
            <w:tcMar>
              <w:left w:w="58" w:type="dxa"/>
              <w:right w:w="58" w:type="dxa"/>
            </w:tcMar>
            <w:vAlign w:val="bottom"/>
          </w:tcPr>
          <w:p w:rsidR="00AE7D50" w:rsidRPr="00AD151D" w:rsidRDefault="00AE7D50">
            <w:pPr>
              <w:keepNext/>
              <w:keepLines/>
              <w:spacing w:before="120"/>
              <w:jc w:val="center"/>
              <w:rPr>
                <w:sz w:val="16"/>
                <w:szCs w:val="16"/>
              </w:rPr>
            </w:pPr>
            <w:r w:rsidRPr="00AD151D">
              <w:rPr>
                <w:sz w:val="16"/>
                <w:szCs w:val="16"/>
              </w:rPr>
              <w:t>SUMMARY TOTAL</w:t>
            </w:r>
          </w:p>
        </w:tc>
      </w:tr>
      <w:tr w:rsidR="00AE7D50" w:rsidRPr="00AD151D" w:rsidTr="00C44BBC">
        <w:trPr>
          <w:trHeight w:val="154"/>
        </w:trPr>
        <w:tc>
          <w:tcPr>
            <w:tcW w:w="117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 </w:t>
            </w:r>
          </w:p>
        </w:tc>
        <w:tc>
          <w:tcPr>
            <w:tcW w:w="63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 </w:t>
            </w:r>
          </w:p>
        </w:tc>
        <w:tc>
          <w:tcPr>
            <w:tcW w:w="6898" w:type="dxa"/>
            <w:gridSpan w:val="12"/>
            <w:noWrap/>
            <w:tcMar>
              <w:left w:w="58" w:type="dxa"/>
              <w:right w:w="58" w:type="dxa"/>
            </w:tcMar>
            <w:vAlign w:val="bottom"/>
          </w:tcPr>
          <w:p w:rsidR="00AE7D50" w:rsidRPr="00AD151D" w:rsidRDefault="00AE7D50">
            <w:pPr>
              <w:keepNext/>
              <w:keepLines/>
              <w:spacing w:before="120"/>
              <w:jc w:val="center"/>
              <w:rPr>
                <w:sz w:val="16"/>
                <w:szCs w:val="16"/>
              </w:rPr>
            </w:pPr>
            <w:r w:rsidRPr="00AD151D">
              <w:rPr>
                <w:sz w:val="16"/>
                <w:szCs w:val="16"/>
              </w:rPr>
              <w:t>Peak Demand for Month of Calendar 2011 (MW)</w:t>
            </w:r>
          </w:p>
        </w:tc>
      </w:tr>
      <w:tr w:rsidR="005C7D93" w:rsidRPr="00AD151D" w:rsidTr="00691252">
        <w:trPr>
          <w:trHeight w:val="351"/>
        </w:trPr>
        <w:tc>
          <w:tcPr>
            <w:tcW w:w="117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Element</w:t>
            </w:r>
          </w:p>
        </w:tc>
        <w:tc>
          <w:tcPr>
            <w:tcW w:w="63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Service Area</w:t>
            </w:r>
          </w:p>
        </w:tc>
        <w:tc>
          <w:tcPr>
            <w:tcW w:w="63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Jan</w:t>
            </w:r>
          </w:p>
        </w:tc>
        <w:tc>
          <w:tcPr>
            <w:tcW w:w="63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Feb</w:t>
            </w:r>
          </w:p>
        </w:tc>
        <w:tc>
          <w:tcPr>
            <w:tcW w:w="54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Mar</w:t>
            </w:r>
          </w:p>
        </w:tc>
        <w:tc>
          <w:tcPr>
            <w:tcW w:w="54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Apr</w:t>
            </w:r>
          </w:p>
        </w:tc>
        <w:tc>
          <w:tcPr>
            <w:tcW w:w="54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May</w:t>
            </w:r>
          </w:p>
        </w:tc>
        <w:tc>
          <w:tcPr>
            <w:tcW w:w="54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Jun</w:t>
            </w:r>
          </w:p>
        </w:tc>
        <w:tc>
          <w:tcPr>
            <w:tcW w:w="54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Jul</w:t>
            </w:r>
          </w:p>
        </w:tc>
        <w:tc>
          <w:tcPr>
            <w:tcW w:w="63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Aug</w:t>
            </w:r>
          </w:p>
        </w:tc>
        <w:tc>
          <w:tcPr>
            <w:tcW w:w="54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Sep</w:t>
            </w:r>
          </w:p>
        </w:tc>
        <w:tc>
          <w:tcPr>
            <w:tcW w:w="63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Oct</w:t>
            </w:r>
          </w:p>
        </w:tc>
        <w:tc>
          <w:tcPr>
            <w:tcW w:w="540"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Nov</w:t>
            </w:r>
          </w:p>
        </w:tc>
        <w:tc>
          <w:tcPr>
            <w:tcW w:w="598" w:type="dxa"/>
            <w:noWrap/>
            <w:tcMar>
              <w:left w:w="58" w:type="dxa"/>
              <w:right w:w="58" w:type="dxa"/>
            </w:tcMar>
            <w:vAlign w:val="bottom"/>
          </w:tcPr>
          <w:p w:rsidR="00AE7D50" w:rsidRPr="00AD151D" w:rsidRDefault="00AE7D50">
            <w:pPr>
              <w:keepNext/>
              <w:keepLines/>
              <w:spacing w:before="120"/>
              <w:rPr>
                <w:sz w:val="16"/>
                <w:szCs w:val="16"/>
              </w:rPr>
            </w:pPr>
            <w:r w:rsidRPr="00AD151D">
              <w:rPr>
                <w:sz w:val="16"/>
                <w:szCs w:val="16"/>
              </w:rPr>
              <w:t>Dec</w:t>
            </w:r>
          </w:p>
        </w:tc>
      </w:tr>
      <w:tr w:rsidR="005C7D93" w:rsidRPr="00AD151D" w:rsidTr="007D0547">
        <w:trPr>
          <w:trHeight w:val="971"/>
        </w:trPr>
        <w:tc>
          <w:tcPr>
            <w:tcW w:w="1170" w:type="dxa"/>
            <w:noWrap/>
            <w:tcMar>
              <w:left w:w="58" w:type="dxa"/>
              <w:right w:w="58" w:type="dxa"/>
            </w:tcMar>
            <w:vAlign w:val="center"/>
          </w:tcPr>
          <w:p w:rsidR="00AE7D50" w:rsidRPr="00AD151D" w:rsidRDefault="00AE7D50" w:rsidP="007D0547">
            <w:pPr>
              <w:keepNext/>
              <w:keepLines/>
              <w:rPr>
                <w:sz w:val="16"/>
                <w:szCs w:val="16"/>
              </w:rPr>
            </w:pPr>
            <w:r w:rsidRPr="00AD151D">
              <w:rPr>
                <w:sz w:val="16"/>
                <w:szCs w:val="16"/>
              </w:rPr>
              <w:t>Submitted LSE Forecast (Metered Load + T&amp;D Losses + UFE)</w:t>
            </w:r>
          </w:p>
        </w:tc>
        <w:tc>
          <w:tcPr>
            <w:tcW w:w="630" w:type="dxa"/>
            <w:noWrap/>
            <w:tcMar>
              <w:left w:w="58" w:type="dxa"/>
              <w:right w:w="58" w:type="dxa"/>
            </w:tcMar>
            <w:vAlign w:val="bottom"/>
          </w:tcPr>
          <w:p w:rsidR="00AE7D50" w:rsidRPr="00AD151D" w:rsidRDefault="00AE7D50" w:rsidP="007D0547">
            <w:pPr>
              <w:keepNext/>
              <w:keepLines/>
              <w:rPr>
                <w:sz w:val="16"/>
                <w:szCs w:val="16"/>
              </w:rPr>
            </w:pPr>
            <w:r w:rsidRPr="00AD151D">
              <w:rPr>
                <w:sz w:val="16"/>
                <w:szCs w:val="16"/>
              </w:rPr>
              <w:t>Total</w:t>
            </w:r>
          </w:p>
        </w:tc>
        <w:tc>
          <w:tcPr>
            <w:tcW w:w="63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29,813</w:t>
            </w:r>
          </w:p>
        </w:tc>
        <w:tc>
          <w:tcPr>
            <w:tcW w:w="63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28,909</w:t>
            </w:r>
          </w:p>
        </w:tc>
        <w:tc>
          <w:tcPr>
            <w:tcW w:w="54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28,671</w:t>
            </w:r>
          </w:p>
        </w:tc>
        <w:tc>
          <w:tcPr>
            <w:tcW w:w="54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29,939</w:t>
            </w:r>
          </w:p>
        </w:tc>
        <w:tc>
          <w:tcPr>
            <w:tcW w:w="54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34,806</w:t>
            </w:r>
          </w:p>
        </w:tc>
        <w:tc>
          <w:tcPr>
            <w:tcW w:w="54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39,026</w:t>
            </w:r>
          </w:p>
        </w:tc>
        <w:tc>
          <w:tcPr>
            <w:tcW w:w="54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42,416</w:t>
            </w:r>
          </w:p>
        </w:tc>
        <w:tc>
          <w:tcPr>
            <w:tcW w:w="63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45,394</w:t>
            </w:r>
          </w:p>
        </w:tc>
        <w:tc>
          <w:tcPr>
            <w:tcW w:w="54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40,191</w:t>
            </w:r>
          </w:p>
        </w:tc>
        <w:tc>
          <w:tcPr>
            <w:tcW w:w="63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33,526</w:t>
            </w:r>
          </w:p>
        </w:tc>
        <w:tc>
          <w:tcPr>
            <w:tcW w:w="540"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30,062</w:t>
            </w:r>
          </w:p>
        </w:tc>
        <w:tc>
          <w:tcPr>
            <w:tcW w:w="598" w:type="dxa"/>
            <w:noWrap/>
            <w:tcMar>
              <w:left w:w="58" w:type="dxa"/>
              <w:right w:w="58" w:type="dxa"/>
            </w:tcMar>
            <w:vAlign w:val="bottom"/>
          </w:tcPr>
          <w:p w:rsidR="00AE7D50" w:rsidRPr="00AD151D" w:rsidRDefault="00AE7D50" w:rsidP="007D0547">
            <w:pPr>
              <w:jc w:val="center"/>
              <w:rPr>
                <w:sz w:val="15"/>
                <w:szCs w:val="15"/>
              </w:rPr>
            </w:pPr>
            <w:r w:rsidRPr="00AD151D">
              <w:rPr>
                <w:sz w:val="15"/>
                <w:szCs w:val="15"/>
              </w:rPr>
              <w:t>31,453</w:t>
            </w:r>
          </w:p>
        </w:tc>
      </w:tr>
      <w:tr w:rsidR="005C7D93" w:rsidRPr="00AD151D" w:rsidTr="007D0547">
        <w:trPr>
          <w:trHeight w:val="737"/>
        </w:trPr>
        <w:tc>
          <w:tcPr>
            <w:tcW w:w="1170" w:type="dxa"/>
            <w:tcMar>
              <w:left w:w="58" w:type="dxa"/>
              <w:right w:w="58" w:type="dxa"/>
            </w:tcMar>
            <w:vAlign w:val="center"/>
          </w:tcPr>
          <w:p w:rsidR="00AE7D50" w:rsidRPr="00AD151D" w:rsidRDefault="00AE7D50" w:rsidP="007D0547">
            <w:pPr>
              <w:keepNext/>
              <w:keepLines/>
              <w:rPr>
                <w:sz w:val="16"/>
                <w:szCs w:val="16"/>
              </w:rPr>
            </w:pPr>
            <w:r w:rsidRPr="00AD151D">
              <w:rPr>
                <w:sz w:val="16"/>
                <w:szCs w:val="16"/>
              </w:rPr>
              <w:t>CEC Adjustment for Plausibility/ Migrating load</w:t>
            </w:r>
          </w:p>
        </w:tc>
        <w:tc>
          <w:tcPr>
            <w:tcW w:w="630" w:type="dxa"/>
            <w:noWrap/>
            <w:tcMar>
              <w:left w:w="58" w:type="dxa"/>
              <w:right w:w="58" w:type="dxa"/>
            </w:tcMar>
            <w:vAlign w:val="bottom"/>
          </w:tcPr>
          <w:p w:rsidR="00AE7D50" w:rsidRPr="00AD151D" w:rsidRDefault="00AE7D50" w:rsidP="007D0547">
            <w:pPr>
              <w:keepNext/>
              <w:keepLines/>
              <w:rPr>
                <w:sz w:val="16"/>
                <w:szCs w:val="16"/>
              </w:rPr>
            </w:pPr>
            <w:r w:rsidRPr="00AD151D">
              <w:rPr>
                <w:sz w:val="16"/>
                <w:szCs w:val="16"/>
              </w:rPr>
              <w:t>Total</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(0)</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28</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38</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39</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161</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210</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1,381</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115</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1,256</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42</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33</w:t>
            </w:r>
          </w:p>
        </w:tc>
        <w:tc>
          <w:tcPr>
            <w:tcW w:w="598"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66</w:t>
            </w:r>
          </w:p>
        </w:tc>
      </w:tr>
      <w:tr w:rsidR="005C7D93" w:rsidRPr="00AD151D" w:rsidTr="00691252">
        <w:trPr>
          <w:trHeight w:val="199"/>
        </w:trPr>
        <w:tc>
          <w:tcPr>
            <w:tcW w:w="1170" w:type="dxa"/>
            <w:tcMar>
              <w:left w:w="58" w:type="dxa"/>
              <w:right w:w="58" w:type="dxa"/>
            </w:tcMar>
            <w:vAlign w:val="center"/>
          </w:tcPr>
          <w:p w:rsidR="00AE7D50" w:rsidRPr="00AD151D" w:rsidRDefault="00AE7D50" w:rsidP="007D0547">
            <w:pPr>
              <w:keepNext/>
              <w:keepLines/>
              <w:rPr>
                <w:sz w:val="16"/>
                <w:szCs w:val="16"/>
              </w:rPr>
            </w:pPr>
            <w:r w:rsidRPr="00AD151D">
              <w:rPr>
                <w:sz w:val="16"/>
                <w:szCs w:val="16"/>
              </w:rPr>
              <w:t>EE/DG Adjustment</w:t>
            </w:r>
          </w:p>
        </w:tc>
        <w:tc>
          <w:tcPr>
            <w:tcW w:w="630" w:type="dxa"/>
            <w:noWrap/>
            <w:tcMar>
              <w:left w:w="58" w:type="dxa"/>
              <w:right w:w="58" w:type="dxa"/>
            </w:tcMar>
            <w:vAlign w:val="bottom"/>
          </w:tcPr>
          <w:p w:rsidR="00AE7D50" w:rsidRPr="00AD151D" w:rsidRDefault="00AE7D50" w:rsidP="007D0547">
            <w:pPr>
              <w:keepNext/>
              <w:keepLines/>
              <w:rPr>
                <w:sz w:val="16"/>
                <w:szCs w:val="16"/>
              </w:rPr>
            </w:pPr>
            <w:r w:rsidRPr="00AD151D">
              <w:rPr>
                <w:sz w:val="16"/>
                <w:szCs w:val="16"/>
              </w:rPr>
              <w:t>Total</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(29)</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(22)</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(23)</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(26)</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(30)</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(32)</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(36)</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(38)</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(35)</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(32)</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(28)</w:t>
            </w:r>
          </w:p>
        </w:tc>
        <w:tc>
          <w:tcPr>
            <w:tcW w:w="598"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(29)</w:t>
            </w:r>
          </w:p>
        </w:tc>
      </w:tr>
      <w:tr w:rsidR="005C7D93" w:rsidRPr="00AD151D" w:rsidTr="00691252">
        <w:trPr>
          <w:trHeight w:val="260"/>
        </w:trPr>
        <w:tc>
          <w:tcPr>
            <w:tcW w:w="1170" w:type="dxa"/>
            <w:tcMar>
              <w:left w:w="58" w:type="dxa"/>
              <w:right w:w="58" w:type="dxa"/>
            </w:tcMar>
            <w:vAlign w:val="center"/>
          </w:tcPr>
          <w:p w:rsidR="00AE7D50" w:rsidRPr="00AD151D" w:rsidRDefault="00AE7D50" w:rsidP="007D0547">
            <w:pPr>
              <w:keepNext/>
              <w:keepLines/>
              <w:rPr>
                <w:sz w:val="16"/>
                <w:szCs w:val="16"/>
              </w:rPr>
            </w:pPr>
            <w:r w:rsidRPr="00AD151D">
              <w:rPr>
                <w:sz w:val="16"/>
                <w:szCs w:val="16"/>
              </w:rPr>
              <w:t>Pro rata adjustment to match CEC forecast within 1%</w:t>
            </w:r>
          </w:p>
        </w:tc>
        <w:tc>
          <w:tcPr>
            <w:tcW w:w="630" w:type="dxa"/>
            <w:noWrap/>
            <w:tcMar>
              <w:left w:w="58" w:type="dxa"/>
              <w:right w:w="58" w:type="dxa"/>
            </w:tcMar>
            <w:vAlign w:val="bottom"/>
          </w:tcPr>
          <w:p w:rsidR="00AE7D50" w:rsidRPr="00AD151D" w:rsidRDefault="00AE7D50" w:rsidP="007D0547">
            <w:pPr>
              <w:keepNext/>
              <w:keepLines/>
              <w:rPr>
                <w:sz w:val="16"/>
                <w:szCs w:val="16"/>
              </w:rPr>
            </w:pPr>
            <w:r w:rsidRPr="00AD151D">
              <w:rPr>
                <w:sz w:val="16"/>
                <w:szCs w:val="16"/>
              </w:rPr>
              <w:t>Total</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10</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41</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(10)</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53</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142</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145</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119</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239</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130</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12</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81</w:t>
            </w:r>
          </w:p>
        </w:tc>
        <w:tc>
          <w:tcPr>
            <w:tcW w:w="598"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149</w:t>
            </w:r>
          </w:p>
        </w:tc>
      </w:tr>
      <w:tr w:rsidR="005C7D93" w:rsidRPr="00AD151D" w:rsidTr="00691252">
        <w:trPr>
          <w:trHeight w:val="375"/>
        </w:trPr>
        <w:tc>
          <w:tcPr>
            <w:tcW w:w="1170" w:type="dxa"/>
            <w:tcMar>
              <w:left w:w="58" w:type="dxa"/>
              <w:right w:w="58" w:type="dxa"/>
            </w:tcMar>
            <w:vAlign w:val="center"/>
          </w:tcPr>
          <w:p w:rsidR="00AE7D50" w:rsidRPr="00AD151D" w:rsidRDefault="00B414BC" w:rsidP="007D0547">
            <w:pPr>
              <w:keepNext/>
              <w:keepLines/>
              <w:rPr>
                <w:sz w:val="16"/>
                <w:szCs w:val="16"/>
              </w:rPr>
            </w:pPr>
            <w:r w:rsidRPr="00AD151D">
              <w:rPr>
                <w:sz w:val="16"/>
                <w:szCs w:val="16"/>
              </w:rPr>
              <w:t>Non</w:t>
            </w:r>
            <w:r>
              <w:rPr>
                <w:sz w:val="16"/>
                <w:szCs w:val="16"/>
              </w:rPr>
              <w:t>-</w:t>
            </w:r>
            <w:r w:rsidRPr="00AD151D">
              <w:rPr>
                <w:sz w:val="16"/>
                <w:szCs w:val="16"/>
              </w:rPr>
              <w:t>coincident</w:t>
            </w:r>
            <w:r w:rsidR="00AE7D50" w:rsidRPr="00AD151D">
              <w:rPr>
                <w:sz w:val="16"/>
                <w:szCs w:val="16"/>
              </w:rPr>
              <w:t xml:space="preserve"> Peak Demand</w:t>
            </w:r>
          </w:p>
        </w:tc>
        <w:tc>
          <w:tcPr>
            <w:tcW w:w="630" w:type="dxa"/>
            <w:noWrap/>
            <w:tcMar>
              <w:left w:w="58" w:type="dxa"/>
              <w:right w:w="58" w:type="dxa"/>
            </w:tcMar>
            <w:vAlign w:val="bottom"/>
          </w:tcPr>
          <w:p w:rsidR="00AE7D50" w:rsidRPr="00AD151D" w:rsidRDefault="00AE7D50" w:rsidP="007D0547">
            <w:pPr>
              <w:keepNext/>
              <w:keepLines/>
              <w:rPr>
                <w:sz w:val="16"/>
                <w:szCs w:val="16"/>
              </w:rPr>
            </w:pPr>
            <w:r w:rsidRPr="00AD151D">
              <w:rPr>
                <w:sz w:val="16"/>
                <w:szCs w:val="16"/>
              </w:rPr>
              <w:t>Total</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29,427</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28,522</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28,349</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30,196</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34,735</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39,370</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43,727</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45,729</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41,658</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33,640</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29,657</w:t>
            </w:r>
          </w:p>
        </w:tc>
        <w:tc>
          <w:tcPr>
            <w:tcW w:w="598"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31,299</w:t>
            </w:r>
          </w:p>
        </w:tc>
      </w:tr>
      <w:tr w:rsidR="005C7D93" w:rsidRPr="00AD151D" w:rsidTr="00691252">
        <w:trPr>
          <w:trHeight w:val="316"/>
        </w:trPr>
        <w:tc>
          <w:tcPr>
            <w:tcW w:w="1170" w:type="dxa"/>
            <w:tcMar>
              <w:left w:w="58" w:type="dxa"/>
              <w:right w:w="58" w:type="dxa"/>
            </w:tcMar>
            <w:vAlign w:val="center"/>
          </w:tcPr>
          <w:p w:rsidR="00AE7D50" w:rsidRPr="00AD151D" w:rsidRDefault="00AE7D50" w:rsidP="007D0547">
            <w:pPr>
              <w:keepNext/>
              <w:keepLines/>
              <w:rPr>
                <w:sz w:val="16"/>
                <w:szCs w:val="16"/>
              </w:rPr>
            </w:pPr>
            <w:r w:rsidRPr="00AD151D">
              <w:rPr>
                <w:sz w:val="16"/>
                <w:szCs w:val="16"/>
              </w:rPr>
              <w:t>Coincidence Adjustment</w:t>
            </w:r>
          </w:p>
        </w:tc>
        <w:tc>
          <w:tcPr>
            <w:tcW w:w="630" w:type="dxa"/>
            <w:noWrap/>
            <w:tcMar>
              <w:left w:w="58" w:type="dxa"/>
              <w:right w:w="58" w:type="dxa"/>
            </w:tcMar>
            <w:vAlign w:val="bottom"/>
          </w:tcPr>
          <w:p w:rsidR="00AE7D50" w:rsidRPr="00AD151D" w:rsidRDefault="00AE7D50" w:rsidP="007D0547">
            <w:pPr>
              <w:keepNext/>
              <w:keepLines/>
              <w:rPr>
                <w:sz w:val="16"/>
                <w:szCs w:val="16"/>
              </w:rPr>
            </w:pPr>
            <w:r w:rsidRPr="00AD151D">
              <w:rPr>
                <w:sz w:val="16"/>
                <w:szCs w:val="16"/>
              </w:rPr>
              <w:t>Total</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(421)</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(510)</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(223)</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(552)</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(699)</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(611)</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(554)</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(882)</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(693)</w:t>
            </w:r>
          </w:p>
        </w:tc>
        <w:tc>
          <w:tcPr>
            <w:tcW w:w="63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(555)</w:t>
            </w:r>
          </w:p>
        </w:tc>
        <w:tc>
          <w:tcPr>
            <w:tcW w:w="540"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(533)</w:t>
            </w:r>
          </w:p>
        </w:tc>
        <w:tc>
          <w:tcPr>
            <w:tcW w:w="598" w:type="dxa"/>
            <w:noWrap/>
            <w:tcMar>
              <w:left w:w="43" w:type="dxa"/>
              <w:right w:w="43" w:type="dxa"/>
            </w:tcMar>
            <w:vAlign w:val="bottom"/>
          </w:tcPr>
          <w:p w:rsidR="00AE7D50" w:rsidRPr="00AD151D" w:rsidRDefault="00AE7D50" w:rsidP="007D0547">
            <w:pPr>
              <w:jc w:val="center"/>
              <w:rPr>
                <w:sz w:val="16"/>
                <w:szCs w:val="16"/>
              </w:rPr>
            </w:pPr>
            <w:r w:rsidRPr="00AD151D">
              <w:rPr>
                <w:sz w:val="16"/>
                <w:szCs w:val="16"/>
              </w:rPr>
              <w:t>(362)</w:t>
            </w:r>
          </w:p>
        </w:tc>
      </w:tr>
      <w:tr w:rsidR="005C7D93" w:rsidRPr="00AD151D" w:rsidTr="00691252">
        <w:trPr>
          <w:trHeight w:val="340"/>
        </w:trPr>
        <w:tc>
          <w:tcPr>
            <w:tcW w:w="1170" w:type="dxa"/>
            <w:tcMar>
              <w:left w:w="58" w:type="dxa"/>
              <w:right w:w="58" w:type="dxa"/>
            </w:tcMar>
            <w:vAlign w:val="center"/>
          </w:tcPr>
          <w:p w:rsidR="00AE7D50" w:rsidRPr="00AD151D" w:rsidRDefault="00AE7D50">
            <w:pPr>
              <w:keepNext/>
              <w:keepLines/>
              <w:spacing w:before="120"/>
              <w:rPr>
                <w:b/>
                <w:bCs/>
                <w:sz w:val="16"/>
                <w:szCs w:val="16"/>
              </w:rPr>
            </w:pPr>
            <w:r w:rsidRPr="00AD151D">
              <w:rPr>
                <w:b/>
                <w:bCs/>
                <w:sz w:val="16"/>
                <w:szCs w:val="16"/>
              </w:rPr>
              <w:t>Final Load Forecast Used for Compliance</w:t>
            </w:r>
          </w:p>
        </w:tc>
        <w:tc>
          <w:tcPr>
            <w:tcW w:w="630" w:type="dxa"/>
            <w:noWrap/>
            <w:tcMar>
              <w:left w:w="58" w:type="dxa"/>
              <w:right w:w="58" w:type="dxa"/>
            </w:tcMar>
            <w:vAlign w:val="bottom"/>
          </w:tcPr>
          <w:p w:rsidR="00AE7D50" w:rsidRPr="00AD151D" w:rsidRDefault="00AE7D50">
            <w:pPr>
              <w:keepNext/>
              <w:keepLines/>
              <w:spacing w:before="120"/>
              <w:rPr>
                <w:b/>
                <w:sz w:val="16"/>
                <w:szCs w:val="16"/>
              </w:rPr>
            </w:pPr>
            <w:r w:rsidRPr="00AD151D">
              <w:rPr>
                <w:b/>
                <w:sz w:val="16"/>
                <w:szCs w:val="16"/>
              </w:rPr>
              <w:t>Total</w:t>
            </w:r>
          </w:p>
        </w:tc>
        <w:tc>
          <w:tcPr>
            <w:tcW w:w="63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29,006</w:t>
            </w:r>
          </w:p>
        </w:tc>
        <w:tc>
          <w:tcPr>
            <w:tcW w:w="63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28,012</w:t>
            </w:r>
          </w:p>
        </w:tc>
        <w:tc>
          <w:tcPr>
            <w:tcW w:w="54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28,126</w:t>
            </w:r>
          </w:p>
        </w:tc>
        <w:tc>
          <w:tcPr>
            <w:tcW w:w="54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29,645</w:t>
            </w:r>
          </w:p>
        </w:tc>
        <w:tc>
          <w:tcPr>
            <w:tcW w:w="54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34,036</w:t>
            </w:r>
          </w:p>
        </w:tc>
        <w:tc>
          <w:tcPr>
            <w:tcW w:w="54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38,759</w:t>
            </w:r>
          </w:p>
        </w:tc>
        <w:tc>
          <w:tcPr>
            <w:tcW w:w="54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43,173</w:t>
            </w:r>
          </w:p>
        </w:tc>
        <w:tc>
          <w:tcPr>
            <w:tcW w:w="63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44,847</w:t>
            </w:r>
          </w:p>
        </w:tc>
        <w:tc>
          <w:tcPr>
            <w:tcW w:w="54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40,965</w:t>
            </w:r>
          </w:p>
        </w:tc>
        <w:tc>
          <w:tcPr>
            <w:tcW w:w="63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33,084</w:t>
            </w:r>
          </w:p>
        </w:tc>
        <w:tc>
          <w:tcPr>
            <w:tcW w:w="540"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29,124</w:t>
            </w:r>
          </w:p>
        </w:tc>
        <w:tc>
          <w:tcPr>
            <w:tcW w:w="598" w:type="dxa"/>
            <w:noWrap/>
            <w:tcMar>
              <w:left w:w="43" w:type="dxa"/>
              <w:right w:w="43" w:type="dxa"/>
            </w:tcMar>
            <w:vAlign w:val="bottom"/>
          </w:tcPr>
          <w:p w:rsidR="00AE7D50" w:rsidRPr="00AD151D" w:rsidRDefault="00AE7D50" w:rsidP="00691252">
            <w:pPr>
              <w:jc w:val="center"/>
              <w:rPr>
                <w:sz w:val="16"/>
                <w:szCs w:val="16"/>
              </w:rPr>
            </w:pPr>
            <w:r w:rsidRPr="00AD151D">
              <w:rPr>
                <w:sz w:val="16"/>
                <w:szCs w:val="16"/>
              </w:rPr>
              <w:t>30,937</w:t>
            </w:r>
          </w:p>
        </w:tc>
      </w:tr>
    </w:tbl>
    <w:p w:rsidR="00AE7D50" w:rsidRPr="00AD151D" w:rsidRDefault="00AE7D50">
      <w:pPr>
        <w:keepNext/>
        <w:keepLines/>
        <w:spacing w:before="120"/>
      </w:pPr>
      <w:r w:rsidRPr="00AD151D">
        <w:rPr>
          <w:sz w:val="20"/>
          <w:szCs w:val="20"/>
        </w:rPr>
        <w:t>Source: CEC Staff aggregate Load Forecast adjustment</w:t>
      </w:r>
      <w:bookmarkStart w:id="34" w:name="_Toc224022434"/>
      <w:r w:rsidRPr="00AD151D">
        <w:tab/>
      </w:r>
    </w:p>
    <w:p w:rsidR="00AF07E7" w:rsidRDefault="00AE7D50">
      <w:pPr>
        <w:widowControl w:val="0"/>
        <w:spacing w:before="120"/>
        <w:ind w:firstLine="720"/>
      </w:pPr>
      <w:r w:rsidRPr="00AD151D">
        <w:t xml:space="preserve">  </w:t>
      </w:r>
      <w:r w:rsidR="005243B3">
        <w:t>In</w:t>
      </w:r>
      <w:r w:rsidRPr="00AD151D">
        <w:t xml:space="preserve"> 2011 </w:t>
      </w:r>
      <w:r w:rsidR="005243B3">
        <w:t>the CEC</w:t>
      </w:r>
      <w:r w:rsidRPr="00AD151D">
        <w:t xml:space="preserve"> increase</w:t>
      </w:r>
      <w:r w:rsidR="005243B3">
        <w:t>d the</w:t>
      </w:r>
      <w:r w:rsidRPr="00AD151D">
        <w:t xml:space="preserve"> total </w:t>
      </w:r>
      <w:r w:rsidR="005243B3">
        <w:t xml:space="preserve">plausibility </w:t>
      </w:r>
      <w:r w:rsidRPr="00AD151D">
        <w:t xml:space="preserve">adjustments by month, which </w:t>
      </w:r>
      <w:r w:rsidRPr="00AD151D">
        <w:lastRenderedPageBreak/>
        <w:t xml:space="preserve">indicated a </w:t>
      </w:r>
      <w:r w:rsidR="005243B3">
        <w:t>mis</w:t>
      </w:r>
      <w:r w:rsidRPr="00AD151D">
        <w:t>match between forecasts of customer retention and actual retention during the year</w:t>
      </w:r>
      <w:r w:rsidR="00A647C4">
        <w:t>,</w:t>
      </w:r>
      <w:r w:rsidR="000063EF">
        <w:t xml:space="preserve"> largely due to customer retention assumptions used to develop the forecasts. </w:t>
      </w:r>
      <w:r w:rsidRPr="00AD151D">
        <w:t>The LSE forecasts for 2011 compliance year</w:t>
      </w:r>
      <w:r w:rsidR="003B5D33">
        <w:t xml:space="preserve"> </w:t>
      </w:r>
      <w:r w:rsidRPr="00AD151D">
        <w:t xml:space="preserve">demonstrated large increases in plausibility adjustments </w:t>
      </w:r>
      <w:r w:rsidR="003B5D33">
        <w:t xml:space="preserve">potentially </w:t>
      </w:r>
      <w:r w:rsidRPr="00AD151D">
        <w:t xml:space="preserve">due to the uncertainty regarding the broadening of direct access. </w:t>
      </w:r>
    </w:p>
    <w:p w:rsidR="00AE7D50" w:rsidRPr="00AD151D" w:rsidRDefault="00AE7D50">
      <w:pPr>
        <w:widowControl w:val="0"/>
        <w:spacing w:before="120"/>
        <w:ind w:firstLine="720"/>
      </w:pPr>
      <w:r w:rsidRPr="00AD151D">
        <w:t xml:space="preserve"> </w:t>
      </w:r>
      <w:r w:rsidR="00F27FC0" w:rsidRPr="00AD151D">
        <w:fldChar w:fldCharType="begin"/>
      </w:r>
      <w:r w:rsidR="00F27FC0" w:rsidRPr="00AD151D">
        <w:instrText xml:space="preserve"> REF _Ref257645496 \h  \* MERGEFORMAT </w:instrText>
      </w:r>
      <w:r w:rsidR="00F27FC0" w:rsidRPr="00AD151D">
        <w:fldChar w:fldCharType="separate"/>
      </w:r>
      <w:r w:rsidR="00B3535E" w:rsidRPr="00B3535E">
        <w:t>Table 2</w:t>
      </w:r>
      <w:r w:rsidR="00F27FC0" w:rsidRPr="00AD151D">
        <w:fldChar w:fldCharType="end"/>
      </w:r>
      <w:r w:rsidRPr="00AD151D">
        <w:t xml:space="preserve"> illustrates the magnitude of plausibility adjustments in each month and compares 2009, 2010, and 2011 compliance years.  Eight of twelve ESPs and two of three IOUs serving load in 2011 required plausibil</w:t>
      </w:r>
      <w:r w:rsidR="0057084E" w:rsidRPr="00AD151D">
        <w:t>ity adjustments applied to the Y</w:t>
      </w:r>
      <w:r w:rsidRPr="00AD151D">
        <w:t xml:space="preserve">ear-Ahead forecast in any month of the 2011 compliance year.  In 2011, plausibility adjustments were both larger in magnitude and a larger group of LSEs required them.  </w:t>
      </w:r>
    </w:p>
    <w:p w:rsidR="00AE7D50" w:rsidRPr="00AD151D" w:rsidRDefault="00AE7D50" w:rsidP="00AF07E7">
      <w:pPr>
        <w:pStyle w:val="Caption"/>
        <w:keepNext/>
        <w:keepLines/>
        <w:spacing w:before="120"/>
        <w:rPr>
          <w:sz w:val="22"/>
          <w:szCs w:val="22"/>
        </w:rPr>
      </w:pPr>
      <w:bookmarkStart w:id="35" w:name="_Ref257645496"/>
      <w:bookmarkStart w:id="36" w:name="_Toc347827072"/>
      <w:r w:rsidRPr="00AD151D">
        <w:rPr>
          <w:sz w:val="22"/>
          <w:szCs w:val="22"/>
        </w:rPr>
        <w:t xml:space="preserve">Table </w:t>
      </w:r>
      <w:r w:rsidRPr="00AD151D">
        <w:rPr>
          <w:sz w:val="22"/>
          <w:szCs w:val="22"/>
        </w:rPr>
        <w:fldChar w:fldCharType="begin"/>
      </w:r>
      <w:r w:rsidRPr="00AD151D">
        <w:rPr>
          <w:sz w:val="22"/>
          <w:szCs w:val="22"/>
        </w:rPr>
        <w:instrText xml:space="preserve"> SEQ Table \* ARABIC </w:instrText>
      </w:r>
      <w:r w:rsidRPr="00AD151D">
        <w:rPr>
          <w:sz w:val="22"/>
          <w:szCs w:val="22"/>
        </w:rPr>
        <w:fldChar w:fldCharType="separate"/>
      </w:r>
      <w:r w:rsidR="00B3535E">
        <w:rPr>
          <w:noProof/>
          <w:sz w:val="22"/>
          <w:szCs w:val="22"/>
        </w:rPr>
        <w:t>2</w:t>
      </w:r>
      <w:r w:rsidRPr="00AD151D">
        <w:rPr>
          <w:sz w:val="22"/>
          <w:szCs w:val="22"/>
        </w:rPr>
        <w:fldChar w:fldCharType="end"/>
      </w:r>
      <w:bookmarkEnd w:id="35"/>
      <w:r w:rsidRPr="00AD151D">
        <w:rPr>
          <w:sz w:val="22"/>
          <w:szCs w:val="22"/>
        </w:rPr>
        <w:t xml:space="preserve"> CEC Plausibility adjustments 2009-2011 (MW)</w:t>
      </w:r>
      <w:bookmarkEnd w:id="36"/>
    </w:p>
    <w:tbl>
      <w:tblPr>
        <w:tblW w:w="0" w:type="auto"/>
        <w:tblLayout w:type="fixed"/>
        <w:tblCellMar>
          <w:left w:w="58" w:type="dxa"/>
          <w:right w:w="58" w:type="dxa"/>
        </w:tblCellMar>
        <w:tblLook w:val="0000" w:firstRow="0" w:lastRow="0" w:firstColumn="0" w:lastColumn="0" w:noHBand="0" w:noVBand="0"/>
      </w:tblPr>
      <w:tblGrid>
        <w:gridCol w:w="1367"/>
        <w:gridCol w:w="580"/>
        <w:gridCol w:w="630"/>
        <w:gridCol w:w="540"/>
        <w:gridCol w:w="540"/>
        <w:gridCol w:w="630"/>
        <w:gridCol w:w="630"/>
        <w:gridCol w:w="630"/>
        <w:gridCol w:w="630"/>
        <w:gridCol w:w="630"/>
        <w:gridCol w:w="540"/>
        <w:gridCol w:w="630"/>
        <w:gridCol w:w="540"/>
      </w:tblGrid>
      <w:tr w:rsidR="00E04B2C" w:rsidRPr="00AD151D" w:rsidTr="00C9687D">
        <w:trPr>
          <w:trHeight w:val="387"/>
        </w:trPr>
        <w:tc>
          <w:tcPr>
            <w:tcW w:w="1367" w:type="dxa"/>
            <w:tcBorders>
              <w:top w:val="single" w:sz="4" w:space="0" w:color="auto"/>
              <w:left w:val="single" w:sz="4" w:space="0" w:color="auto"/>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Year </w:t>
            </w:r>
          </w:p>
        </w:tc>
        <w:tc>
          <w:tcPr>
            <w:tcW w:w="58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Jan </w:t>
            </w:r>
          </w:p>
        </w:tc>
        <w:tc>
          <w:tcPr>
            <w:tcW w:w="63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Feb </w:t>
            </w:r>
          </w:p>
        </w:tc>
        <w:tc>
          <w:tcPr>
            <w:tcW w:w="54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Mar </w:t>
            </w:r>
          </w:p>
        </w:tc>
        <w:tc>
          <w:tcPr>
            <w:tcW w:w="54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Apr </w:t>
            </w:r>
          </w:p>
        </w:tc>
        <w:tc>
          <w:tcPr>
            <w:tcW w:w="63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May </w:t>
            </w:r>
          </w:p>
        </w:tc>
        <w:tc>
          <w:tcPr>
            <w:tcW w:w="63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Jun </w:t>
            </w:r>
          </w:p>
        </w:tc>
        <w:tc>
          <w:tcPr>
            <w:tcW w:w="63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Jul </w:t>
            </w:r>
          </w:p>
        </w:tc>
        <w:tc>
          <w:tcPr>
            <w:tcW w:w="63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Aug </w:t>
            </w:r>
          </w:p>
        </w:tc>
        <w:tc>
          <w:tcPr>
            <w:tcW w:w="63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Sep </w:t>
            </w:r>
          </w:p>
        </w:tc>
        <w:tc>
          <w:tcPr>
            <w:tcW w:w="54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Oct </w:t>
            </w:r>
          </w:p>
        </w:tc>
        <w:tc>
          <w:tcPr>
            <w:tcW w:w="63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Nov </w:t>
            </w:r>
          </w:p>
        </w:tc>
        <w:tc>
          <w:tcPr>
            <w:tcW w:w="54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 xml:space="preserve"> Dec </w:t>
            </w:r>
          </w:p>
        </w:tc>
      </w:tr>
      <w:tr w:rsidR="00E04B2C" w:rsidRPr="00AD151D" w:rsidTr="00C9687D">
        <w:trPr>
          <w:trHeight w:val="422"/>
        </w:trPr>
        <w:tc>
          <w:tcPr>
            <w:tcW w:w="1367" w:type="dxa"/>
            <w:tcBorders>
              <w:top w:val="nil"/>
              <w:left w:val="single" w:sz="4" w:space="0" w:color="auto"/>
              <w:bottom w:val="single" w:sz="4" w:space="0" w:color="auto"/>
              <w:right w:val="single" w:sz="4" w:space="0" w:color="auto"/>
            </w:tcBorders>
            <w:vAlign w:val="center"/>
          </w:tcPr>
          <w:p w:rsidR="00AE7D50" w:rsidRPr="00AD151D" w:rsidRDefault="00AE7D50" w:rsidP="006C5D7A">
            <w:pPr>
              <w:keepNext/>
              <w:keepLines/>
              <w:jc w:val="right"/>
              <w:rPr>
                <w:b/>
                <w:bCs/>
                <w:sz w:val="16"/>
                <w:szCs w:val="16"/>
              </w:rPr>
            </w:pPr>
            <w:r w:rsidRPr="00AD151D">
              <w:rPr>
                <w:b/>
                <w:bCs/>
                <w:sz w:val="16"/>
                <w:szCs w:val="16"/>
              </w:rPr>
              <w:t>2009 Compliance Year</w:t>
            </w:r>
          </w:p>
        </w:tc>
        <w:tc>
          <w:tcPr>
            <w:tcW w:w="58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437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436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441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459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519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553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605 </w:t>
            </w:r>
          </w:p>
        </w:tc>
        <w:tc>
          <w:tcPr>
            <w:tcW w:w="630" w:type="dxa"/>
            <w:tcBorders>
              <w:top w:val="nil"/>
              <w:left w:val="nil"/>
              <w:bottom w:val="single" w:sz="4" w:space="0" w:color="auto"/>
              <w:right w:val="single" w:sz="4" w:space="0" w:color="auto"/>
            </w:tcBorders>
            <w:noWrap/>
            <w:vAlign w:val="center"/>
          </w:tcPr>
          <w:p w:rsidR="00AE7D50" w:rsidRPr="00AD151D" w:rsidRDefault="006F69DE" w:rsidP="006C5D7A">
            <w:pPr>
              <w:keepNext/>
              <w:keepLines/>
              <w:jc w:val="right"/>
              <w:rPr>
                <w:sz w:val="16"/>
                <w:szCs w:val="16"/>
              </w:rPr>
            </w:pPr>
            <w:r w:rsidRPr="00AD151D">
              <w:rPr>
                <w:sz w:val="16"/>
                <w:szCs w:val="16"/>
              </w:rPr>
              <w:t>-</w:t>
            </w:r>
            <w:r w:rsidR="00AE7D50" w:rsidRPr="00AD151D">
              <w:rPr>
                <w:sz w:val="16"/>
                <w:szCs w:val="16"/>
              </w:rPr>
              <w:t>188</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595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514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484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481 </w:t>
            </w:r>
          </w:p>
        </w:tc>
      </w:tr>
      <w:tr w:rsidR="00E04B2C" w:rsidRPr="00AD151D" w:rsidTr="00C9687D">
        <w:trPr>
          <w:trHeight w:val="449"/>
        </w:trPr>
        <w:tc>
          <w:tcPr>
            <w:tcW w:w="1367" w:type="dxa"/>
            <w:tcBorders>
              <w:top w:val="nil"/>
              <w:left w:val="single" w:sz="4" w:space="0" w:color="auto"/>
              <w:bottom w:val="single" w:sz="4" w:space="0" w:color="auto"/>
              <w:right w:val="nil"/>
            </w:tcBorders>
            <w:vAlign w:val="center"/>
          </w:tcPr>
          <w:p w:rsidR="00AE7D50" w:rsidRPr="00AD151D" w:rsidRDefault="00AE7D50" w:rsidP="006C5D7A">
            <w:pPr>
              <w:keepNext/>
              <w:keepLines/>
              <w:jc w:val="right"/>
              <w:rPr>
                <w:b/>
                <w:bCs/>
                <w:sz w:val="16"/>
                <w:szCs w:val="16"/>
              </w:rPr>
            </w:pPr>
            <w:r w:rsidRPr="00AD151D">
              <w:rPr>
                <w:b/>
                <w:bCs/>
                <w:sz w:val="16"/>
                <w:szCs w:val="16"/>
              </w:rPr>
              <w:t>2010 Compliance Year</w:t>
            </w:r>
          </w:p>
        </w:tc>
        <w:tc>
          <w:tcPr>
            <w:tcW w:w="580" w:type="dxa"/>
            <w:tcBorders>
              <w:top w:val="nil"/>
              <w:left w:val="single" w:sz="4" w:space="0" w:color="auto"/>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50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48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19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65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21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22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225 </w:t>
            </w:r>
          </w:p>
        </w:tc>
        <w:tc>
          <w:tcPr>
            <w:tcW w:w="630" w:type="dxa"/>
            <w:tcBorders>
              <w:top w:val="nil"/>
              <w:left w:val="nil"/>
              <w:bottom w:val="single" w:sz="4" w:space="0" w:color="auto"/>
              <w:right w:val="single" w:sz="4" w:space="0" w:color="auto"/>
            </w:tcBorders>
            <w:noWrap/>
            <w:vAlign w:val="center"/>
          </w:tcPr>
          <w:p w:rsidR="00AE7D50" w:rsidRPr="00AD151D" w:rsidRDefault="006F69DE" w:rsidP="006C5D7A">
            <w:pPr>
              <w:keepNext/>
              <w:keepLines/>
              <w:jc w:val="right"/>
              <w:rPr>
                <w:sz w:val="16"/>
                <w:szCs w:val="16"/>
              </w:rPr>
            </w:pPr>
            <w:r w:rsidRPr="00AD151D">
              <w:rPr>
                <w:sz w:val="16"/>
                <w:szCs w:val="16"/>
              </w:rPr>
              <w:t>-44</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352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155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17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15 </w:t>
            </w:r>
          </w:p>
        </w:tc>
      </w:tr>
      <w:tr w:rsidR="00E04B2C" w:rsidRPr="00AD151D" w:rsidTr="00C9687D">
        <w:trPr>
          <w:trHeight w:val="421"/>
        </w:trPr>
        <w:tc>
          <w:tcPr>
            <w:tcW w:w="1367" w:type="dxa"/>
            <w:tcBorders>
              <w:top w:val="nil"/>
              <w:left w:val="single" w:sz="4" w:space="0" w:color="auto"/>
              <w:bottom w:val="single" w:sz="4" w:space="0" w:color="auto"/>
              <w:right w:val="single" w:sz="4" w:space="0" w:color="auto"/>
            </w:tcBorders>
            <w:noWrap/>
            <w:vAlign w:val="center"/>
          </w:tcPr>
          <w:p w:rsidR="00AE7D50" w:rsidRPr="00AD151D" w:rsidRDefault="00AE7D50" w:rsidP="006C5D7A">
            <w:pPr>
              <w:keepNext/>
              <w:keepLines/>
              <w:jc w:val="right"/>
              <w:rPr>
                <w:b/>
                <w:bCs/>
                <w:sz w:val="16"/>
                <w:szCs w:val="16"/>
              </w:rPr>
            </w:pPr>
            <w:r w:rsidRPr="00AD151D">
              <w:rPr>
                <w:b/>
                <w:bCs/>
                <w:sz w:val="16"/>
                <w:szCs w:val="16"/>
              </w:rPr>
              <w:t>2011 Compliance Year</w:t>
            </w:r>
          </w:p>
        </w:tc>
        <w:tc>
          <w:tcPr>
            <w:tcW w:w="580" w:type="dxa"/>
            <w:tcBorders>
              <w:top w:val="nil"/>
              <w:left w:val="nil"/>
              <w:bottom w:val="single" w:sz="4" w:space="0" w:color="auto"/>
              <w:right w:val="single" w:sz="4" w:space="0" w:color="auto"/>
            </w:tcBorders>
            <w:noWrap/>
            <w:vAlign w:val="center"/>
          </w:tcPr>
          <w:p w:rsidR="00AE7D50" w:rsidRPr="00AD151D" w:rsidRDefault="00E04B2C" w:rsidP="006C5D7A">
            <w:pPr>
              <w:keepNext/>
              <w:keepLines/>
              <w:jc w:val="right"/>
              <w:rPr>
                <w:sz w:val="16"/>
                <w:szCs w:val="16"/>
              </w:rPr>
            </w:pPr>
            <w:r w:rsidRPr="00AD151D">
              <w:rPr>
                <w:sz w:val="16"/>
                <w:szCs w:val="16"/>
              </w:rPr>
              <w:t>0</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28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38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39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161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210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1,381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115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1,256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42 </w:t>
            </w:r>
          </w:p>
        </w:tc>
        <w:tc>
          <w:tcPr>
            <w:tcW w:w="63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33 </w:t>
            </w:r>
          </w:p>
        </w:tc>
        <w:tc>
          <w:tcPr>
            <w:tcW w:w="540" w:type="dxa"/>
            <w:tcBorders>
              <w:top w:val="nil"/>
              <w:left w:val="nil"/>
              <w:bottom w:val="single" w:sz="4" w:space="0" w:color="auto"/>
              <w:right w:val="single" w:sz="4" w:space="0" w:color="auto"/>
            </w:tcBorders>
            <w:noWrap/>
            <w:vAlign w:val="center"/>
          </w:tcPr>
          <w:p w:rsidR="00AE7D50" w:rsidRPr="00AD151D" w:rsidRDefault="00AE7D50" w:rsidP="006C5D7A">
            <w:pPr>
              <w:keepNext/>
              <w:keepLines/>
              <w:jc w:val="right"/>
              <w:rPr>
                <w:sz w:val="16"/>
                <w:szCs w:val="16"/>
              </w:rPr>
            </w:pPr>
            <w:r w:rsidRPr="00AD151D">
              <w:rPr>
                <w:sz w:val="16"/>
                <w:szCs w:val="16"/>
              </w:rPr>
              <w:t xml:space="preserve">66 </w:t>
            </w:r>
          </w:p>
        </w:tc>
      </w:tr>
      <w:tr w:rsidR="00E04B2C" w:rsidRPr="00AD151D" w:rsidTr="00C9687D">
        <w:trPr>
          <w:trHeight w:val="458"/>
        </w:trPr>
        <w:tc>
          <w:tcPr>
            <w:tcW w:w="1367" w:type="dxa"/>
            <w:tcBorders>
              <w:top w:val="nil"/>
              <w:left w:val="single" w:sz="4" w:space="0" w:color="auto"/>
              <w:bottom w:val="single" w:sz="4" w:space="0" w:color="auto"/>
              <w:right w:val="single" w:sz="4" w:space="0" w:color="auto"/>
            </w:tcBorders>
            <w:vAlign w:val="bottom"/>
          </w:tcPr>
          <w:p w:rsidR="00AE7D50" w:rsidRPr="00AD151D" w:rsidRDefault="00AE7D50" w:rsidP="006C5D7A">
            <w:pPr>
              <w:keepNext/>
              <w:keepLines/>
              <w:jc w:val="right"/>
              <w:rPr>
                <w:b/>
                <w:bCs/>
                <w:sz w:val="16"/>
                <w:szCs w:val="16"/>
              </w:rPr>
            </w:pPr>
            <w:r w:rsidRPr="00AD151D">
              <w:rPr>
                <w:b/>
                <w:bCs/>
                <w:sz w:val="16"/>
                <w:szCs w:val="16"/>
              </w:rPr>
              <w:t>Percentage increase/decrease 2010-2011</w:t>
            </w:r>
          </w:p>
        </w:tc>
        <w:tc>
          <w:tcPr>
            <w:tcW w:w="58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-100%</w:t>
            </w:r>
          </w:p>
        </w:tc>
        <w:tc>
          <w:tcPr>
            <w:tcW w:w="63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-41%</w:t>
            </w:r>
          </w:p>
        </w:tc>
        <w:tc>
          <w:tcPr>
            <w:tcW w:w="54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103%</w:t>
            </w:r>
          </w:p>
        </w:tc>
        <w:tc>
          <w:tcPr>
            <w:tcW w:w="54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-40%</w:t>
            </w:r>
          </w:p>
        </w:tc>
        <w:tc>
          <w:tcPr>
            <w:tcW w:w="63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674%</w:t>
            </w:r>
          </w:p>
        </w:tc>
        <w:tc>
          <w:tcPr>
            <w:tcW w:w="63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853%</w:t>
            </w:r>
          </w:p>
        </w:tc>
        <w:tc>
          <w:tcPr>
            <w:tcW w:w="63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515%</w:t>
            </w:r>
          </w:p>
        </w:tc>
        <w:tc>
          <w:tcPr>
            <w:tcW w:w="630" w:type="dxa"/>
            <w:tcBorders>
              <w:top w:val="nil"/>
              <w:left w:val="nil"/>
              <w:bottom w:val="single" w:sz="4" w:space="0" w:color="auto"/>
              <w:right w:val="single" w:sz="4" w:space="0" w:color="auto"/>
            </w:tcBorders>
            <w:noWrap/>
            <w:vAlign w:val="bottom"/>
          </w:tcPr>
          <w:p w:rsidR="00AE7D50" w:rsidRPr="00AD151D" w:rsidRDefault="00DD697B" w:rsidP="006C5D7A">
            <w:pPr>
              <w:keepNext/>
              <w:keepLines/>
              <w:jc w:val="right"/>
              <w:rPr>
                <w:b/>
                <w:sz w:val="16"/>
                <w:szCs w:val="16"/>
              </w:rPr>
            </w:pPr>
            <w:r w:rsidRPr="00AD151D">
              <w:rPr>
                <w:b/>
                <w:sz w:val="16"/>
                <w:szCs w:val="16"/>
              </w:rPr>
              <w:t>364%</w:t>
            </w:r>
          </w:p>
        </w:tc>
        <w:tc>
          <w:tcPr>
            <w:tcW w:w="63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257%</w:t>
            </w:r>
          </w:p>
        </w:tc>
        <w:tc>
          <w:tcPr>
            <w:tcW w:w="54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-73%</w:t>
            </w:r>
          </w:p>
        </w:tc>
        <w:tc>
          <w:tcPr>
            <w:tcW w:w="63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96%</w:t>
            </w:r>
          </w:p>
        </w:tc>
        <w:tc>
          <w:tcPr>
            <w:tcW w:w="540" w:type="dxa"/>
            <w:tcBorders>
              <w:top w:val="nil"/>
              <w:left w:val="nil"/>
              <w:bottom w:val="single" w:sz="4" w:space="0" w:color="auto"/>
              <w:right w:val="single" w:sz="4" w:space="0" w:color="auto"/>
            </w:tcBorders>
            <w:noWrap/>
            <w:vAlign w:val="bottom"/>
          </w:tcPr>
          <w:p w:rsidR="00AE7D50" w:rsidRPr="00AD151D" w:rsidRDefault="00AE7D50" w:rsidP="006C5D7A">
            <w:pPr>
              <w:keepNext/>
              <w:keepLines/>
              <w:jc w:val="right"/>
              <w:rPr>
                <w:b/>
                <w:sz w:val="16"/>
                <w:szCs w:val="16"/>
              </w:rPr>
            </w:pPr>
            <w:r w:rsidRPr="00AD151D">
              <w:rPr>
                <w:b/>
                <w:sz w:val="16"/>
                <w:szCs w:val="16"/>
              </w:rPr>
              <w:t>349%</w:t>
            </w:r>
          </w:p>
        </w:tc>
      </w:tr>
    </w:tbl>
    <w:p w:rsidR="00AE7D50" w:rsidRPr="00AD151D" w:rsidRDefault="00AE7D50" w:rsidP="00AF07E7">
      <w:pPr>
        <w:keepNext/>
        <w:keepLines/>
        <w:rPr>
          <w:sz w:val="20"/>
          <w:szCs w:val="20"/>
        </w:rPr>
      </w:pPr>
      <w:r w:rsidRPr="00AD151D">
        <w:rPr>
          <w:sz w:val="20"/>
          <w:szCs w:val="20"/>
        </w:rPr>
        <w:t>Source: Aggregated year-Ahead CEC load forecasts 2009-2011</w:t>
      </w:r>
    </w:p>
    <w:p w:rsidR="00AE7D50" w:rsidRPr="00AD151D" w:rsidRDefault="00AE7D50">
      <w:pPr>
        <w:pStyle w:val="Heading3"/>
        <w:keepNext w:val="0"/>
        <w:widowControl w:val="0"/>
        <w:numPr>
          <w:ilvl w:val="2"/>
          <w:numId w:val="18"/>
        </w:numPr>
      </w:pPr>
      <w:bookmarkStart w:id="37" w:name="_Toc347827045"/>
      <w:r w:rsidRPr="00AD151D">
        <w:t>Monthly Load Migration Adjustments</w:t>
      </w:r>
      <w:bookmarkEnd w:id="37"/>
      <w:r w:rsidRPr="00AD151D">
        <w:t xml:space="preserve"> </w:t>
      </w:r>
      <w:bookmarkEnd w:id="34"/>
    </w:p>
    <w:p w:rsidR="00DD697B" w:rsidRDefault="00DD697B" w:rsidP="00277DC8">
      <w:pPr>
        <w:spacing w:before="120"/>
        <w:ind w:firstLine="720"/>
      </w:pPr>
      <w:r w:rsidRPr="00AD151D">
        <w:t xml:space="preserve">The graph in Figure 1 </w:t>
      </w:r>
      <w:r w:rsidR="000A0C48" w:rsidRPr="00AD151D">
        <w:t xml:space="preserve">illustrates the trend in monthly net migration adjustments to LSE forecasts during compliance years 2007-2011.  There was a significant decrease in net load adjustments from 2007 until 2010, and then a significant increase in net migration adjustments in 2011.  </w:t>
      </w:r>
      <w:r w:rsidR="00C909A8" w:rsidRPr="00AD151D">
        <w:t xml:space="preserve">This is a significant increase from the monthly load adjustment range of 93 to 268 MW during 2010 and of 283 to 425 MW during 2009.   </w:t>
      </w:r>
      <w:r w:rsidR="000A0C48" w:rsidRPr="00AD151D">
        <w:t xml:space="preserve">This significant increase </w:t>
      </w:r>
      <w:r w:rsidR="00C909A8" w:rsidRPr="00AD151D">
        <w:t xml:space="preserve">correlates with </w:t>
      </w:r>
      <w:r w:rsidR="000A0C48" w:rsidRPr="00AD151D">
        <w:t xml:space="preserve">the 2010 reopening of Direct Access (DA), </w:t>
      </w:r>
      <w:r w:rsidR="00C909A8" w:rsidRPr="00AD151D">
        <w:t xml:space="preserve">which may have </w:t>
      </w:r>
      <w:r w:rsidR="000A0C48" w:rsidRPr="00AD151D">
        <w:t xml:space="preserve">caused a large amount of uncertainty regarding customer migration.  </w:t>
      </w:r>
    </w:p>
    <w:p w:rsidR="000A0C48" w:rsidRPr="00F669D6" w:rsidRDefault="000A0C48" w:rsidP="00F669D6">
      <w:pPr>
        <w:pStyle w:val="Caption"/>
        <w:keepNext/>
        <w:keepLines/>
        <w:spacing w:before="120"/>
        <w:rPr>
          <w:noProof/>
        </w:rPr>
      </w:pPr>
      <w:bookmarkStart w:id="38" w:name="_Ref347303515"/>
      <w:bookmarkStart w:id="39" w:name="_Toc347827090"/>
      <w:r w:rsidRPr="00F669D6">
        <w:t xml:space="preserve">Figure </w:t>
      </w:r>
      <w:r w:rsidRPr="00F669D6">
        <w:rPr>
          <w:rStyle w:val="CaptionChar"/>
          <w:sz w:val="22"/>
          <w:szCs w:val="22"/>
        </w:rPr>
        <w:fldChar w:fldCharType="begin"/>
      </w:r>
      <w:r w:rsidRPr="00F669D6">
        <w:rPr>
          <w:rStyle w:val="CaptionChar"/>
          <w:sz w:val="22"/>
          <w:szCs w:val="22"/>
        </w:rPr>
        <w:instrText xml:space="preserve"> SEQ Figure \* ARABIC </w:instrText>
      </w:r>
      <w:r w:rsidRPr="00F669D6">
        <w:rPr>
          <w:rStyle w:val="CaptionChar"/>
          <w:sz w:val="22"/>
          <w:szCs w:val="22"/>
        </w:rPr>
        <w:fldChar w:fldCharType="separate"/>
      </w:r>
      <w:r w:rsidR="00B3535E">
        <w:rPr>
          <w:rStyle w:val="CaptionChar"/>
          <w:noProof/>
          <w:sz w:val="22"/>
          <w:szCs w:val="22"/>
        </w:rPr>
        <w:t>1</w:t>
      </w:r>
      <w:r w:rsidRPr="00F669D6">
        <w:rPr>
          <w:rStyle w:val="CaptionChar"/>
          <w:sz w:val="22"/>
          <w:szCs w:val="22"/>
        </w:rPr>
        <w:fldChar w:fldCharType="end"/>
      </w:r>
      <w:bookmarkEnd w:id="38"/>
      <w:r w:rsidRPr="00F669D6">
        <w:t>. Monthly Net Migration Adjustments from 2007-2011</w:t>
      </w:r>
      <w:bookmarkEnd w:id="39"/>
    </w:p>
    <w:p w:rsidR="00F669D6" w:rsidRDefault="00DA6508" w:rsidP="00F669D6">
      <w:pPr>
        <w:keepNext/>
        <w:keepLines/>
        <w:spacing w:before="120"/>
        <w:rPr>
          <w:noProof/>
          <w:sz w:val="20"/>
          <w:szCs w:val="20"/>
        </w:rPr>
      </w:pPr>
      <w:r>
        <w:rPr>
          <w:noProof/>
          <w:sz w:val="20"/>
          <w:szCs w:val="20"/>
        </w:rPr>
        <w:drawing>
          <wp:inline distT="0" distB="0" distL="0" distR="0" wp14:anchorId="5BBF0B91">
            <wp:extent cx="5113020" cy="2221226"/>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020" cy="2221226"/>
                    </a:xfrm>
                    <a:prstGeom prst="rect">
                      <a:avLst/>
                    </a:prstGeom>
                    <a:noFill/>
                  </pic:spPr>
                </pic:pic>
              </a:graphicData>
            </a:graphic>
          </wp:inline>
        </w:drawing>
      </w:r>
    </w:p>
    <w:p w:rsidR="000A0C48" w:rsidRPr="00AD151D" w:rsidRDefault="000A0C48" w:rsidP="00F669D6">
      <w:pPr>
        <w:keepNext/>
        <w:keepLines/>
        <w:spacing w:before="120"/>
        <w:rPr>
          <w:noProof/>
          <w:sz w:val="20"/>
          <w:szCs w:val="20"/>
        </w:rPr>
      </w:pPr>
      <w:r w:rsidRPr="00AD151D">
        <w:rPr>
          <w:noProof/>
          <w:sz w:val="20"/>
          <w:szCs w:val="20"/>
        </w:rPr>
        <w:t>Source: Monthly Forecast adjustments submitted by LSEs, 2007-2011</w:t>
      </w:r>
    </w:p>
    <w:p w:rsidR="00AE7D50" w:rsidRPr="00AD151D" w:rsidRDefault="0057084E" w:rsidP="00F669D6">
      <w:pPr>
        <w:widowControl w:val="0"/>
        <w:spacing w:before="120"/>
        <w:ind w:firstLine="720"/>
      </w:pPr>
      <w:r w:rsidRPr="00AD151D">
        <w:fldChar w:fldCharType="begin"/>
      </w:r>
      <w:r w:rsidRPr="00AD151D">
        <w:instrText xml:space="preserve"> REF _Ref346876261 \h </w:instrText>
      </w:r>
      <w:r w:rsidR="00AB1C92" w:rsidRPr="00AD151D">
        <w:instrText xml:space="preserve"> \* MERGEFORMAT </w:instrText>
      </w:r>
      <w:r w:rsidRPr="00AD151D">
        <w:fldChar w:fldCharType="separate"/>
      </w:r>
      <w:r w:rsidR="00B3535E" w:rsidRPr="00B3535E">
        <w:rPr>
          <w:bCs/>
        </w:rPr>
        <w:t xml:space="preserve">Table </w:t>
      </w:r>
      <w:r w:rsidR="00B3535E" w:rsidRPr="00B3535E">
        <w:rPr>
          <w:bCs/>
          <w:noProof/>
        </w:rPr>
        <w:t>3</w:t>
      </w:r>
      <w:r w:rsidRPr="00AD151D">
        <w:fldChar w:fldCharType="end"/>
      </w:r>
      <w:r w:rsidR="00AE7D50" w:rsidRPr="00AD151D">
        <w:t xml:space="preserve"> shows </w:t>
      </w:r>
      <w:r w:rsidR="00C909A8" w:rsidRPr="00AD151D">
        <w:t xml:space="preserve">the progression of the load forecast process in 2011, from initial </w:t>
      </w:r>
      <w:r w:rsidR="00C909A8" w:rsidRPr="00AD151D">
        <w:lastRenderedPageBreak/>
        <w:t xml:space="preserve">forecasts sent in July to final monthly load forecasts used for RA obligations.  The </w:t>
      </w:r>
      <w:r w:rsidR="00AE7D50" w:rsidRPr="00AD151D">
        <w:t>monthly load forecast adjustments ranging between 226 and 717</w:t>
      </w:r>
      <w:r w:rsidR="00C06A81">
        <w:t xml:space="preserve"> </w:t>
      </w:r>
      <w:r w:rsidR="00AE7D50" w:rsidRPr="00AD151D">
        <w:t xml:space="preserve">MW in 2011.  </w:t>
      </w:r>
      <w:bookmarkStart w:id="40" w:name="_Ref155768903"/>
      <w:bookmarkStart w:id="41" w:name="_Ref193695297"/>
    </w:p>
    <w:p w:rsidR="00AE7D50" w:rsidRPr="00AD151D" w:rsidRDefault="00AE7D50" w:rsidP="00FB2ADC">
      <w:pPr>
        <w:pStyle w:val="Caption"/>
        <w:keepNext/>
        <w:keepLines/>
        <w:spacing w:before="120"/>
        <w:rPr>
          <w:bCs w:val="0"/>
          <w:sz w:val="22"/>
        </w:rPr>
      </w:pPr>
      <w:bookmarkStart w:id="42" w:name="_Ref346876261"/>
      <w:bookmarkStart w:id="43" w:name="_Toc347827073"/>
      <w:bookmarkEnd w:id="40"/>
      <w:bookmarkEnd w:id="41"/>
      <w:r w:rsidRPr="00AD151D">
        <w:rPr>
          <w:bCs w:val="0"/>
          <w:sz w:val="22"/>
        </w:rPr>
        <w:t xml:space="preserve">Table </w:t>
      </w:r>
      <w:r w:rsidRPr="00AD151D">
        <w:rPr>
          <w:bCs w:val="0"/>
          <w:sz w:val="22"/>
        </w:rPr>
        <w:fldChar w:fldCharType="begin"/>
      </w:r>
      <w:r w:rsidRPr="00AD151D">
        <w:rPr>
          <w:bCs w:val="0"/>
          <w:sz w:val="22"/>
        </w:rPr>
        <w:instrText xml:space="preserve"> SEQ Table \* ARABIC </w:instrText>
      </w:r>
      <w:r w:rsidRPr="00AD151D">
        <w:rPr>
          <w:bCs w:val="0"/>
          <w:sz w:val="22"/>
        </w:rPr>
        <w:fldChar w:fldCharType="separate"/>
      </w:r>
      <w:r w:rsidR="00B3535E">
        <w:rPr>
          <w:bCs w:val="0"/>
          <w:noProof/>
          <w:sz w:val="22"/>
        </w:rPr>
        <w:t>3</w:t>
      </w:r>
      <w:r w:rsidRPr="00AD151D">
        <w:rPr>
          <w:bCs w:val="0"/>
          <w:sz w:val="22"/>
        </w:rPr>
        <w:fldChar w:fldCharType="end"/>
      </w:r>
      <w:bookmarkEnd w:id="42"/>
      <w:r w:rsidRPr="00AD151D">
        <w:rPr>
          <w:bCs w:val="0"/>
          <w:sz w:val="22"/>
        </w:rPr>
        <w:t>. Summary of Load Forecast Adjustments in 2011 (in MW)</w:t>
      </w:r>
      <w:bookmarkEnd w:id="43"/>
    </w:p>
    <w:tbl>
      <w:tblPr>
        <w:tblW w:w="9610" w:type="dxa"/>
        <w:tblInd w:w="-822" w:type="dxa"/>
        <w:tblLayout w:type="fixed"/>
        <w:tblCellMar>
          <w:left w:w="58" w:type="dxa"/>
          <w:right w:w="58" w:type="dxa"/>
        </w:tblCellMar>
        <w:tblLook w:val="0000" w:firstRow="0" w:lastRow="0" w:firstColumn="0" w:lastColumn="0" w:noHBand="0" w:noVBand="0"/>
      </w:tblPr>
      <w:tblGrid>
        <w:gridCol w:w="273"/>
        <w:gridCol w:w="1495"/>
        <w:gridCol w:w="732"/>
        <w:gridCol w:w="720"/>
        <w:gridCol w:w="630"/>
        <w:gridCol w:w="630"/>
        <w:gridCol w:w="630"/>
        <w:gridCol w:w="630"/>
        <w:gridCol w:w="720"/>
        <w:gridCol w:w="630"/>
        <w:gridCol w:w="630"/>
        <w:gridCol w:w="630"/>
        <w:gridCol w:w="630"/>
        <w:gridCol w:w="630"/>
      </w:tblGrid>
      <w:tr w:rsidR="00E10E24" w:rsidRPr="00AD151D" w:rsidTr="00DA6508">
        <w:trPr>
          <w:trHeight w:val="169"/>
        </w:trPr>
        <w:tc>
          <w:tcPr>
            <w:tcW w:w="273" w:type="dxa"/>
            <w:tcBorders>
              <w:top w:val="single" w:sz="4" w:space="0" w:color="auto"/>
              <w:left w:val="single" w:sz="4" w:space="0" w:color="auto"/>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 </w:t>
            </w:r>
          </w:p>
        </w:tc>
        <w:tc>
          <w:tcPr>
            <w:tcW w:w="1495"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Description</w:t>
            </w:r>
          </w:p>
        </w:tc>
        <w:tc>
          <w:tcPr>
            <w:tcW w:w="732"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Jan</w:t>
            </w:r>
          </w:p>
        </w:tc>
        <w:tc>
          <w:tcPr>
            <w:tcW w:w="72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Feb</w:t>
            </w:r>
          </w:p>
        </w:tc>
        <w:tc>
          <w:tcPr>
            <w:tcW w:w="63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Mar</w:t>
            </w:r>
          </w:p>
        </w:tc>
        <w:tc>
          <w:tcPr>
            <w:tcW w:w="63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Apr</w:t>
            </w:r>
          </w:p>
        </w:tc>
        <w:tc>
          <w:tcPr>
            <w:tcW w:w="63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May</w:t>
            </w:r>
          </w:p>
        </w:tc>
        <w:tc>
          <w:tcPr>
            <w:tcW w:w="63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Jun</w:t>
            </w:r>
          </w:p>
        </w:tc>
        <w:tc>
          <w:tcPr>
            <w:tcW w:w="72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Jul</w:t>
            </w:r>
          </w:p>
        </w:tc>
        <w:tc>
          <w:tcPr>
            <w:tcW w:w="63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Aug</w:t>
            </w:r>
          </w:p>
        </w:tc>
        <w:tc>
          <w:tcPr>
            <w:tcW w:w="63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Sep</w:t>
            </w:r>
          </w:p>
        </w:tc>
        <w:tc>
          <w:tcPr>
            <w:tcW w:w="63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Oct</w:t>
            </w:r>
          </w:p>
        </w:tc>
        <w:tc>
          <w:tcPr>
            <w:tcW w:w="63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Nov</w:t>
            </w:r>
          </w:p>
        </w:tc>
        <w:tc>
          <w:tcPr>
            <w:tcW w:w="630" w:type="dxa"/>
            <w:tcBorders>
              <w:top w:val="single" w:sz="4" w:space="0" w:color="auto"/>
              <w:left w:val="nil"/>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Dec</w:t>
            </w:r>
          </w:p>
        </w:tc>
      </w:tr>
      <w:tr w:rsidR="00E10E24" w:rsidRPr="00AD151D" w:rsidTr="00DA6508">
        <w:trPr>
          <w:trHeight w:val="239"/>
        </w:trPr>
        <w:tc>
          <w:tcPr>
            <w:tcW w:w="273" w:type="dxa"/>
            <w:tcBorders>
              <w:top w:val="nil"/>
              <w:left w:val="single" w:sz="4" w:space="0" w:color="auto"/>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1</w:t>
            </w:r>
          </w:p>
        </w:tc>
        <w:tc>
          <w:tcPr>
            <w:tcW w:w="1495" w:type="dxa"/>
            <w:tcBorders>
              <w:top w:val="nil"/>
              <w:left w:val="nil"/>
              <w:bottom w:val="single" w:sz="4" w:space="0" w:color="auto"/>
              <w:right w:val="single" w:sz="4" w:space="0" w:color="auto"/>
            </w:tcBorders>
            <w:vAlign w:val="bottom"/>
          </w:tcPr>
          <w:p w:rsidR="00AE7D50" w:rsidRPr="00AD151D" w:rsidRDefault="00AE7D50" w:rsidP="006C5D7A">
            <w:pPr>
              <w:keepNext/>
              <w:keepLines/>
              <w:jc w:val="right"/>
              <w:rPr>
                <w:b/>
                <w:bCs/>
                <w:sz w:val="16"/>
                <w:szCs w:val="16"/>
              </w:rPr>
            </w:pPr>
            <w:r w:rsidRPr="00AD151D">
              <w:rPr>
                <w:b/>
                <w:bCs/>
                <w:sz w:val="16"/>
                <w:szCs w:val="16"/>
              </w:rPr>
              <w:t>Total Forecasts sent out in Jul. 2011</w:t>
            </w:r>
          </w:p>
        </w:tc>
        <w:tc>
          <w:tcPr>
            <w:tcW w:w="732"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29,006</w:t>
            </w:r>
          </w:p>
        </w:tc>
        <w:tc>
          <w:tcPr>
            <w:tcW w:w="72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28,012</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28,126</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29,645</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34,036</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38,759</w:t>
            </w:r>
          </w:p>
        </w:tc>
        <w:tc>
          <w:tcPr>
            <w:tcW w:w="72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43,173</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44,847</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40,965</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33,084</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29,124</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30,937</w:t>
            </w:r>
          </w:p>
        </w:tc>
      </w:tr>
      <w:tr w:rsidR="00E10E24" w:rsidRPr="00AD151D" w:rsidTr="00DA6508">
        <w:trPr>
          <w:trHeight w:val="239"/>
        </w:trPr>
        <w:tc>
          <w:tcPr>
            <w:tcW w:w="273" w:type="dxa"/>
            <w:tcBorders>
              <w:top w:val="nil"/>
              <w:left w:val="single" w:sz="4" w:space="0" w:color="auto"/>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2</w:t>
            </w:r>
          </w:p>
        </w:tc>
        <w:tc>
          <w:tcPr>
            <w:tcW w:w="1495" w:type="dxa"/>
            <w:tcBorders>
              <w:top w:val="nil"/>
              <w:left w:val="nil"/>
              <w:bottom w:val="single" w:sz="4" w:space="0" w:color="auto"/>
              <w:right w:val="single" w:sz="4" w:space="0" w:color="auto"/>
            </w:tcBorders>
            <w:vAlign w:val="bottom"/>
          </w:tcPr>
          <w:p w:rsidR="00AE7D50" w:rsidRPr="00AD151D" w:rsidRDefault="00AE7D50" w:rsidP="006C5D7A">
            <w:pPr>
              <w:keepNext/>
              <w:keepLines/>
              <w:jc w:val="right"/>
              <w:rPr>
                <w:b/>
                <w:bCs/>
                <w:sz w:val="16"/>
                <w:szCs w:val="16"/>
              </w:rPr>
            </w:pPr>
            <w:r w:rsidRPr="00AD151D">
              <w:rPr>
                <w:b/>
                <w:bCs/>
                <w:sz w:val="16"/>
                <w:szCs w:val="16"/>
              </w:rPr>
              <w:t>Monthly Load Forecast adjustments through 2011</w:t>
            </w:r>
          </w:p>
        </w:tc>
        <w:tc>
          <w:tcPr>
            <w:tcW w:w="732"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226</w:t>
            </w:r>
          </w:p>
        </w:tc>
        <w:tc>
          <w:tcPr>
            <w:tcW w:w="72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305</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320</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562</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361</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341</w:t>
            </w:r>
          </w:p>
        </w:tc>
        <w:tc>
          <w:tcPr>
            <w:tcW w:w="72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394</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333</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695</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717</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385</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601</w:t>
            </w:r>
          </w:p>
        </w:tc>
      </w:tr>
      <w:tr w:rsidR="00E10E24" w:rsidRPr="00AD151D" w:rsidTr="00DA6508">
        <w:trPr>
          <w:trHeight w:val="239"/>
        </w:trPr>
        <w:tc>
          <w:tcPr>
            <w:tcW w:w="273" w:type="dxa"/>
            <w:tcBorders>
              <w:top w:val="nil"/>
              <w:left w:val="single" w:sz="4" w:space="0" w:color="auto"/>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3</w:t>
            </w:r>
          </w:p>
        </w:tc>
        <w:tc>
          <w:tcPr>
            <w:tcW w:w="1495" w:type="dxa"/>
            <w:tcBorders>
              <w:top w:val="nil"/>
              <w:left w:val="nil"/>
              <w:bottom w:val="single" w:sz="4" w:space="0" w:color="auto"/>
              <w:right w:val="single" w:sz="4" w:space="0" w:color="auto"/>
            </w:tcBorders>
            <w:vAlign w:val="bottom"/>
          </w:tcPr>
          <w:p w:rsidR="00AE7D50" w:rsidRPr="00AD151D" w:rsidRDefault="00AE7D50" w:rsidP="006C5D7A">
            <w:pPr>
              <w:keepNext/>
              <w:keepLines/>
              <w:jc w:val="right"/>
              <w:rPr>
                <w:b/>
                <w:bCs/>
                <w:sz w:val="16"/>
                <w:szCs w:val="16"/>
              </w:rPr>
            </w:pPr>
            <w:r w:rsidRPr="00AD151D">
              <w:rPr>
                <w:b/>
                <w:bCs/>
                <w:sz w:val="16"/>
                <w:szCs w:val="16"/>
              </w:rPr>
              <w:t xml:space="preserve">Total forecasts used in 2011 monthly RA filings </w:t>
            </w:r>
          </w:p>
        </w:tc>
        <w:tc>
          <w:tcPr>
            <w:tcW w:w="732"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29,232</w:t>
            </w:r>
          </w:p>
        </w:tc>
        <w:tc>
          <w:tcPr>
            <w:tcW w:w="72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28,317</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28,446</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30,207</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34,397</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39,100</w:t>
            </w:r>
          </w:p>
        </w:tc>
        <w:tc>
          <w:tcPr>
            <w:tcW w:w="72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43,567</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45,180</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41,660</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33,802</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29,510</w:t>
            </w:r>
          </w:p>
        </w:tc>
        <w:tc>
          <w:tcPr>
            <w:tcW w:w="630" w:type="dxa"/>
            <w:tcBorders>
              <w:top w:val="nil"/>
              <w:left w:val="nil"/>
              <w:bottom w:val="single" w:sz="4" w:space="0" w:color="auto"/>
              <w:right w:val="single" w:sz="4" w:space="0" w:color="auto"/>
            </w:tcBorders>
            <w:noWrap/>
            <w:vAlign w:val="bottom"/>
          </w:tcPr>
          <w:p w:rsidR="00AE7D50" w:rsidRPr="00AD151D" w:rsidRDefault="00AE7D50" w:rsidP="00DA6508">
            <w:pPr>
              <w:keepNext/>
              <w:keepLines/>
              <w:jc w:val="center"/>
              <w:rPr>
                <w:sz w:val="16"/>
                <w:szCs w:val="16"/>
              </w:rPr>
            </w:pPr>
            <w:r w:rsidRPr="00AD151D">
              <w:rPr>
                <w:sz w:val="16"/>
                <w:szCs w:val="16"/>
              </w:rPr>
              <w:t>31,538</w:t>
            </w:r>
          </w:p>
        </w:tc>
      </w:tr>
      <w:tr w:rsidR="00E10E24" w:rsidRPr="00AD151D" w:rsidTr="00DA6508">
        <w:trPr>
          <w:trHeight w:val="288"/>
        </w:trPr>
        <w:tc>
          <w:tcPr>
            <w:tcW w:w="273" w:type="dxa"/>
            <w:tcBorders>
              <w:top w:val="nil"/>
              <w:left w:val="single" w:sz="4" w:space="0" w:color="auto"/>
              <w:bottom w:val="single" w:sz="4" w:space="0" w:color="auto"/>
              <w:right w:val="single" w:sz="4" w:space="0" w:color="auto"/>
            </w:tcBorders>
          </w:tcPr>
          <w:p w:rsidR="00AE7D50" w:rsidRPr="00AD151D" w:rsidRDefault="00AE7D50" w:rsidP="006C5D7A">
            <w:pPr>
              <w:keepNext/>
              <w:keepLines/>
              <w:jc w:val="right"/>
              <w:rPr>
                <w:b/>
                <w:bCs/>
                <w:sz w:val="16"/>
                <w:szCs w:val="16"/>
              </w:rPr>
            </w:pPr>
            <w:r w:rsidRPr="00AD151D">
              <w:rPr>
                <w:b/>
                <w:bCs/>
                <w:sz w:val="16"/>
                <w:szCs w:val="16"/>
              </w:rPr>
              <w:t>4</w:t>
            </w:r>
          </w:p>
        </w:tc>
        <w:tc>
          <w:tcPr>
            <w:tcW w:w="1495" w:type="dxa"/>
            <w:tcBorders>
              <w:top w:val="nil"/>
              <w:left w:val="nil"/>
              <w:bottom w:val="single" w:sz="4" w:space="0" w:color="auto"/>
              <w:right w:val="single" w:sz="4" w:space="0" w:color="auto"/>
            </w:tcBorders>
            <w:vAlign w:val="bottom"/>
          </w:tcPr>
          <w:p w:rsidR="00AE7D50" w:rsidRPr="00AD151D" w:rsidRDefault="00AE7D50" w:rsidP="006C5D7A">
            <w:pPr>
              <w:keepNext/>
              <w:keepLines/>
              <w:jc w:val="right"/>
              <w:rPr>
                <w:b/>
                <w:bCs/>
                <w:sz w:val="16"/>
                <w:szCs w:val="16"/>
              </w:rPr>
            </w:pPr>
            <w:r w:rsidRPr="00AD151D">
              <w:rPr>
                <w:b/>
                <w:bCs/>
                <w:sz w:val="16"/>
                <w:szCs w:val="16"/>
              </w:rPr>
              <w:t>Line 3 as percent of Line 1</w:t>
            </w:r>
          </w:p>
        </w:tc>
        <w:tc>
          <w:tcPr>
            <w:tcW w:w="732"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101%</w:t>
            </w:r>
          </w:p>
        </w:tc>
        <w:tc>
          <w:tcPr>
            <w:tcW w:w="72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101%</w:t>
            </w:r>
          </w:p>
        </w:tc>
        <w:tc>
          <w:tcPr>
            <w:tcW w:w="63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101%</w:t>
            </w:r>
          </w:p>
        </w:tc>
        <w:tc>
          <w:tcPr>
            <w:tcW w:w="63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102%</w:t>
            </w:r>
          </w:p>
        </w:tc>
        <w:tc>
          <w:tcPr>
            <w:tcW w:w="63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101%</w:t>
            </w:r>
          </w:p>
        </w:tc>
        <w:tc>
          <w:tcPr>
            <w:tcW w:w="63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101%</w:t>
            </w:r>
          </w:p>
        </w:tc>
        <w:tc>
          <w:tcPr>
            <w:tcW w:w="72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101%</w:t>
            </w:r>
          </w:p>
        </w:tc>
        <w:tc>
          <w:tcPr>
            <w:tcW w:w="63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101%</w:t>
            </w:r>
          </w:p>
        </w:tc>
        <w:tc>
          <w:tcPr>
            <w:tcW w:w="63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102%</w:t>
            </w:r>
          </w:p>
        </w:tc>
        <w:tc>
          <w:tcPr>
            <w:tcW w:w="63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102%</w:t>
            </w:r>
          </w:p>
        </w:tc>
        <w:tc>
          <w:tcPr>
            <w:tcW w:w="63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101%</w:t>
            </w:r>
          </w:p>
        </w:tc>
        <w:tc>
          <w:tcPr>
            <w:tcW w:w="630" w:type="dxa"/>
            <w:tcBorders>
              <w:top w:val="nil"/>
              <w:left w:val="nil"/>
              <w:bottom w:val="single" w:sz="4" w:space="0" w:color="auto"/>
              <w:right w:val="single" w:sz="4" w:space="0" w:color="auto"/>
            </w:tcBorders>
            <w:vAlign w:val="bottom"/>
          </w:tcPr>
          <w:p w:rsidR="00AE7D50" w:rsidRPr="00AD151D" w:rsidRDefault="00AE7D50" w:rsidP="00DA6508">
            <w:pPr>
              <w:keepNext/>
              <w:keepLines/>
              <w:jc w:val="center"/>
              <w:rPr>
                <w:sz w:val="16"/>
                <w:szCs w:val="16"/>
              </w:rPr>
            </w:pPr>
            <w:r w:rsidRPr="00AD151D">
              <w:rPr>
                <w:sz w:val="16"/>
                <w:szCs w:val="16"/>
              </w:rPr>
              <w:t>102%</w:t>
            </w:r>
          </w:p>
        </w:tc>
      </w:tr>
    </w:tbl>
    <w:p w:rsidR="00AE7D50" w:rsidRPr="00AD151D" w:rsidRDefault="00AE7D50" w:rsidP="00FB2ADC">
      <w:pPr>
        <w:keepNext/>
        <w:keepLines/>
        <w:spacing w:before="120"/>
        <w:rPr>
          <w:sz w:val="20"/>
          <w:szCs w:val="20"/>
        </w:rPr>
      </w:pPr>
      <w:r w:rsidRPr="00AD151D">
        <w:rPr>
          <w:sz w:val="20"/>
          <w:szCs w:val="20"/>
        </w:rPr>
        <w:t>Source – Aggregated Load Forecast Adjustments submitted to the CEC and CPUC through 2011</w:t>
      </w:r>
    </w:p>
    <w:p w:rsidR="00AE7D50" w:rsidRPr="00AD151D" w:rsidRDefault="00AE7D50" w:rsidP="00ED650E"/>
    <w:p w:rsidR="00AE7D50" w:rsidRPr="00277DC8" w:rsidRDefault="00AE7D50">
      <w:pPr>
        <w:pStyle w:val="Heading2"/>
        <w:keepNext w:val="0"/>
        <w:numPr>
          <w:ilvl w:val="1"/>
          <w:numId w:val="18"/>
        </w:numPr>
        <w:spacing w:before="120"/>
        <w:rPr>
          <w:i w:val="0"/>
        </w:rPr>
      </w:pPr>
      <w:bookmarkStart w:id="44" w:name="_Toc224022435"/>
      <w:bookmarkStart w:id="45" w:name="_Toc347827046"/>
      <w:r w:rsidRPr="00277DC8">
        <w:rPr>
          <w:i w:val="0"/>
        </w:rPr>
        <w:t>System RA Requirements - CPUC Jurisdictional LSEs</w:t>
      </w:r>
      <w:bookmarkEnd w:id="44"/>
      <w:bookmarkEnd w:id="45"/>
    </w:p>
    <w:p w:rsidR="00AE7D50" w:rsidRPr="00AD151D" w:rsidRDefault="00AE7D50">
      <w:pPr>
        <w:spacing w:before="120"/>
        <w:ind w:firstLine="720"/>
      </w:pPr>
      <w:r w:rsidRPr="00AD151D">
        <w:t xml:space="preserve">The CPUC-jurisdictional LSEs satisfied their individual and collective system RAR for every month of 2011.  The total MWs of RA resources procured exceeded the total System RAR range </w:t>
      </w:r>
      <w:r w:rsidR="004D53AC">
        <w:t xml:space="preserve">from </w:t>
      </w:r>
      <w:r w:rsidRPr="00AD151D">
        <w:t xml:space="preserve">1 to 8 percent, depending on the month.  RA resources include physical resources within the CAISO’s control area, Demand Response, </w:t>
      </w:r>
      <w:r w:rsidR="0057084E" w:rsidRPr="00AD151D">
        <w:t xml:space="preserve">remaining </w:t>
      </w:r>
      <w:r w:rsidRPr="00AD151D">
        <w:t xml:space="preserve">DWR contracts and imports.  </w:t>
      </w:r>
    </w:p>
    <w:p w:rsidR="00AE7D50" w:rsidRPr="00AD151D" w:rsidRDefault="00AE7D50">
      <w:pPr>
        <w:spacing w:before="120"/>
        <w:ind w:firstLine="720"/>
        <w:rPr>
          <w:bCs/>
          <w:noProof/>
        </w:rPr>
      </w:pPr>
      <w:r w:rsidRPr="00AD151D">
        <w:t>Remaining</w:t>
      </w:r>
      <w:r w:rsidR="0057084E" w:rsidRPr="00AD151D">
        <w:t xml:space="preserve"> n</w:t>
      </w:r>
      <w:r w:rsidRPr="00AD151D">
        <w:t xml:space="preserve">on unit specific DWR contracts </w:t>
      </w:r>
      <w:r w:rsidR="00BD5858" w:rsidRPr="00AD151D">
        <w:t xml:space="preserve">began to expire in 2010, </w:t>
      </w:r>
      <w:r w:rsidR="0057084E" w:rsidRPr="00AD151D">
        <w:t xml:space="preserve">with </w:t>
      </w:r>
      <w:r w:rsidR="004D53AC">
        <w:t xml:space="preserve">two </w:t>
      </w:r>
      <w:r w:rsidR="0057084E" w:rsidRPr="00AD151D">
        <w:t>final non-unit specific DWR contract</w:t>
      </w:r>
      <w:r w:rsidR="004D53AC">
        <w:t>s</w:t>
      </w:r>
      <w:r w:rsidR="0057084E" w:rsidRPr="00AD151D">
        <w:t xml:space="preserve"> ending in June 2012</w:t>
      </w:r>
      <w:r w:rsidR="004D53AC">
        <w:t xml:space="preserve"> (i.e. </w:t>
      </w:r>
      <w:r w:rsidR="0057084E" w:rsidRPr="00AD151D">
        <w:t>Kings River Conservation District and Shell</w:t>
      </w:r>
      <w:r w:rsidR="004D53AC">
        <w:t>)</w:t>
      </w:r>
      <w:r w:rsidR="0057084E" w:rsidRPr="00AD151D">
        <w:t>.</w:t>
      </w:r>
    </w:p>
    <w:p w:rsidR="00580872" w:rsidRDefault="00021382">
      <w:pPr>
        <w:spacing w:before="120"/>
        <w:ind w:firstLine="720"/>
      </w:pPr>
      <w:r w:rsidRPr="00AD151D">
        <w:fldChar w:fldCharType="begin"/>
      </w:r>
      <w:r w:rsidRPr="00AD151D">
        <w:instrText xml:space="preserve"> REF _Ref153449370 \h  \* MERGEFORMAT </w:instrText>
      </w:r>
      <w:r w:rsidRPr="00AD151D">
        <w:fldChar w:fldCharType="separate"/>
      </w:r>
      <w:r w:rsidR="00B3535E" w:rsidRPr="00B3535E">
        <w:rPr>
          <w:bCs/>
        </w:rPr>
        <w:t>Table 4</w:t>
      </w:r>
      <w:r w:rsidRPr="00AD151D">
        <w:fldChar w:fldCharType="end"/>
      </w:r>
      <w:r w:rsidRPr="00AD151D">
        <w:t xml:space="preserve"> shows total CPUC jurisdictional RA procurement for each month of 2011. </w:t>
      </w:r>
      <w:r w:rsidR="00AE7D50" w:rsidRPr="00AD151D">
        <w:t xml:space="preserve">During the forecasted peak month of August 2011 CPUC jurisdictional LSEs were required to procure 47,861 MW of resources to meet expected system needs </w:t>
      </w:r>
      <w:r w:rsidR="00897B07" w:rsidRPr="00AD151D">
        <w:t xml:space="preserve">which included the </w:t>
      </w:r>
      <w:r w:rsidR="00AE7D50" w:rsidRPr="00AD151D">
        <w:t>15 percent planning reserve margin.  These LSEs procured in excess of the total System RAR, or 48,461 MW; which represents 556 MW</w:t>
      </w:r>
      <w:r w:rsidR="004D53AC">
        <w:t xml:space="preserve"> excess</w:t>
      </w:r>
      <w:r w:rsidR="00AE7D50" w:rsidRPr="00AD151D">
        <w:t xml:space="preserve"> beyond the RA program</w:t>
      </w:r>
      <w:r w:rsidR="004D53AC">
        <w:t xml:space="preserve"> requirements</w:t>
      </w:r>
      <w:r w:rsidR="00AE7D50" w:rsidRPr="00AD151D">
        <w:t xml:space="preserve">.  </w:t>
      </w:r>
    </w:p>
    <w:p w:rsidR="00AE7D50" w:rsidRPr="00AD151D" w:rsidRDefault="00AE7D50">
      <w:pPr>
        <w:spacing w:before="120"/>
        <w:ind w:firstLine="720"/>
      </w:pPr>
      <w:r w:rsidRPr="00AD151D">
        <w:t xml:space="preserve">The LSEs’ individual forecasts are summed each month after being adjusted for load migration in column B, Demand Response resources are subtracted to create a Net Demand in Column E, a Planning Reserve Margin (PRM) is applied to create the RA obligation in Column F, and non-DR resources are compared to the resulting RA obligation and Net Demand in Columns </w:t>
      </w:r>
      <w:r w:rsidR="00BD5858" w:rsidRPr="00AD151D">
        <w:t>H and I</w:t>
      </w:r>
      <w:r w:rsidRPr="00AD151D">
        <w:t xml:space="preserve">.  Compliance is represented by procurement over 100 percent of the RA obligation in column </w:t>
      </w:r>
      <w:r w:rsidR="00BD5858" w:rsidRPr="00AD151D">
        <w:t>H</w:t>
      </w:r>
      <w:r w:rsidRPr="00AD151D">
        <w:t>, which is 115 percent of the peak demand forecasts.</w:t>
      </w:r>
    </w:p>
    <w:p w:rsidR="00AE7D50" w:rsidRPr="00AD151D" w:rsidRDefault="00AE7D50" w:rsidP="00580872">
      <w:pPr>
        <w:pStyle w:val="Caption"/>
        <w:keepNext/>
        <w:keepLines/>
        <w:spacing w:before="120"/>
        <w:rPr>
          <w:sz w:val="22"/>
        </w:rPr>
      </w:pPr>
      <w:bookmarkStart w:id="46" w:name="_Ref153449370"/>
      <w:bookmarkStart w:id="47" w:name="_Ref25394619"/>
      <w:bookmarkStart w:id="48" w:name="_Ref347421511"/>
      <w:bookmarkStart w:id="49" w:name="_Ref347421662"/>
      <w:bookmarkStart w:id="50" w:name="_Toc347827074"/>
      <w:r w:rsidRPr="00AD151D">
        <w:rPr>
          <w:sz w:val="22"/>
        </w:rPr>
        <w:lastRenderedPageBreak/>
        <w:t xml:space="preserve">Table </w:t>
      </w:r>
      <w:r w:rsidRPr="00AD151D">
        <w:rPr>
          <w:sz w:val="22"/>
        </w:rPr>
        <w:fldChar w:fldCharType="begin"/>
      </w:r>
      <w:r w:rsidRPr="00AD151D">
        <w:rPr>
          <w:sz w:val="22"/>
        </w:rPr>
        <w:instrText xml:space="preserve"> SEQ Table \* ARABIC </w:instrText>
      </w:r>
      <w:r w:rsidRPr="00AD151D">
        <w:rPr>
          <w:sz w:val="22"/>
        </w:rPr>
        <w:fldChar w:fldCharType="separate"/>
      </w:r>
      <w:r w:rsidR="00B3535E">
        <w:rPr>
          <w:noProof/>
          <w:sz w:val="22"/>
        </w:rPr>
        <w:t>4</w:t>
      </w:r>
      <w:r w:rsidRPr="00AD151D">
        <w:rPr>
          <w:sz w:val="22"/>
        </w:rPr>
        <w:fldChar w:fldCharType="end"/>
      </w:r>
      <w:bookmarkEnd w:id="46"/>
      <w:r w:rsidRPr="00AD151D">
        <w:rPr>
          <w:sz w:val="22"/>
        </w:rPr>
        <w:t xml:space="preserve">. 2011 RA </w:t>
      </w:r>
      <w:bookmarkEnd w:id="47"/>
      <w:r w:rsidRPr="00AD151D">
        <w:rPr>
          <w:sz w:val="22"/>
        </w:rPr>
        <w:t>Filing Summary - CPUC Jurisdictional Entities (MWs)</w:t>
      </w:r>
      <w:bookmarkEnd w:id="48"/>
      <w:bookmarkEnd w:id="49"/>
      <w:bookmarkEnd w:id="50"/>
    </w:p>
    <w:tbl>
      <w:tblPr>
        <w:tblW w:w="8443" w:type="dxa"/>
        <w:tblInd w:w="103" w:type="dxa"/>
        <w:tblLayout w:type="fixed"/>
        <w:tblCellMar>
          <w:left w:w="86" w:type="dxa"/>
          <w:right w:w="86" w:type="dxa"/>
        </w:tblCellMar>
        <w:tblLook w:val="00A0" w:firstRow="1" w:lastRow="0" w:firstColumn="1" w:lastColumn="0" w:noHBand="0" w:noVBand="0"/>
      </w:tblPr>
      <w:tblGrid>
        <w:gridCol w:w="536"/>
        <w:gridCol w:w="819"/>
        <w:gridCol w:w="788"/>
        <w:gridCol w:w="990"/>
        <w:gridCol w:w="922"/>
        <w:gridCol w:w="1170"/>
        <w:gridCol w:w="878"/>
        <w:gridCol w:w="1080"/>
        <w:gridCol w:w="1260"/>
      </w:tblGrid>
      <w:tr w:rsidR="00AE7D50" w:rsidRPr="00AD151D" w:rsidTr="00C83B76">
        <w:trPr>
          <w:trHeight w:val="242"/>
        </w:trPr>
        <w:tc>
          <w:tcPr>
            <w:tcW w:w="536" w:type="dxa"/>
            <w:tcBorders>
              <w:top w:val="single" w:sz="4" w:space="0" w:color="auto"/>
              <w:left w:val="single" w:sz="4" w:space="0" w:color="auto"/>
              <w:bottom w:val="single" w:sz="4" w:space="0" w:color="auto"/>
              <w:right w:val="single" w:sz="4" w:space="0" w:color="auto"/>
            </w:tcBorders>
            <w:vAlign w:val="center"/>
          </w:tcPr>
          <w:p w:rsidR="00AE7D50" w:rsidRPr="00AD151D" w:rsidRDefault="00AE7D50" w:rsidP="006C5D7A">
            <w:pPr>
              <w:keepNext/>
              <w:keepLines/>
              <w:jc w:val="center"/>
              <w:rPr>
                <w:b/>
                <w:bCs/>
                <w:sz w:val="16"/>
                <w:szCs w:val="16"/>
              </w:rPr>
            </w:pPr>
            <w:r w:rsidRPr="00AD151D">
              <w:rPr>
                <w:b/>
                <w:bCs/>
                <w:sz w:val="16"/>
                <w:szCs w:val="16"/>
              </w:rPr>
              <w:t>A</w:t>
            </w:r>
          </w:p>
        </w:tc>
        <w:tc>
          <w:tcPr>
            <w:tcW w:w="819"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center"/>
              <w:rPr>
                <w:b/>
                <w:bCs/>
                <w:sz w:val="16"/>
                <w:szCs w:val="16"/>
              </w:rPr>
            </w:pPr>
            <w:r w:rsidRPr="00AD151D">
              <w:rPr>
                <w:b/>
                <w:bCs/>
                <w:sz w:val="16"/>
                <w:szCs w:val="16"/>
              </w:rPr>
              <w:t>B</w:t>
            </w:r>
          </w:p>
        </w:tc>
        <w:tc>
          <w:tcPr>
            <w:tcW w:w="788"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center"/>
              <w:rPr>
                <w:b/>
                <w:bCs/>
                <w:sz w:val="16"/>
                <w:szCs w:val="16"/>
              </w:rPr>
            </w:pPr>
            <w:r w:rsidRPr="00AD151D">
              <w:rPr>
                <w:b/>
                <w:bCs/>
                <w:sz w:val="16"/>
                <w:szCs w:val="16"/>
              </w:rPr>
              <w:t>C</w:t>
            </w:r>
          </w:p>
        </w:tc>
        <w:tc>
          <w:tcPr>
            <w:tcW w:w="99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center"/>
              <w:rPr>
                <w:b/>
                <w:bCs/>
                <w:sz w:val="16"/>
                <w:szCs w:val="16"/>
              </w:rPr>
            </w:pPr>
            <w:r w:rsidRPr="00AD151D">
              <w:rPr>
                <w:b/>
                <w:bCs/>
                <w:sz w:val="16"/>
                <w:szCs w:val="16"/>
              </w:rPr>
              <w:t>D</w:t>
            </w:r>
          </w:p>
        </w:tc>
        <w:tc>
          <w:tcPr>
            <w:tcW w:w="922"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center"/>
              <w:rPr>
                <w:b/>
                <w:bCs/>
                <w:sz w:val="16"/>
                <w:szCs w:val="16"/>
              </w:rPr>
            </w:pPr>
            <w:r w:rsidRPr="00AD151D">
              <w:rPr>
                <w:b/>
                <w:bCs/>
                <w:sz w:val="16"/>
                <w:szCs w:val="16"/>
              </w:rPr>
              <w:t>E</w:t>
            </w:r>
          </w:p>
        </w:tc>
        <w:tc>
          <w:tcPr>
            <w:tcW w:w="117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center"/>
              <w:rPr>
                <w:b/>
                <w:bCs/>
                <w:sz w:val="16"/>
                <w:szCs w:val="16"/>
              </w:rPr>
            </w:pPr>
            <w:r w:rsidRPr="00AD151D">
              <w:rPr>
                <w:b/>
                <w:bCs/>
                <w:sz w:val="16"/>
                <w:szCs w:val="16"/>
              </w:rPr>
              <w:t>F</w:t>
            </w:r>
          </w:p>
        </w:tc>
        <w:tc>
          <w:tcPr>
            <w:tcW w:w="878"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center"/>
              <w:rPr>
                <w:b/>
                <w:bCs/>
                <w:sz w:val="16"/>
                <w:szCs w:val="16"/>
              </w:rPr>
            </w:pPr>
            <w:r w:rsidRPr="00AD151D">
              <w:rPr>
                <w:b/>
                <w:bCs/>
                <w:sz w:val="16"/>
                <w:szCs w:val="16"/>
              </w:rPr>
              <w:t>G</w:t>
            </w:r>
          </w:p>
        </w:tc>
        <w:tc>
          <w:tcPr>
            <w:tcW w:w="108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center"/>
              <w:rPr>
                <w:b/>
                <w:bCs/>
                <w:sz w:val="16"/>
                <w:szCs w:val="16"/>
              </w:rPr>
            </w:pPr>
            <w:r w:rsidRPr="00AD151D">
              <w:rPr>
                <w:b/>
                <w:bCs/>
                <w:sz w:val="16"/>
                <w:szCs w:val="16"/>
              </w:rPr>
              <w:t>H</w:t>
            </w:r>
          </w:p>
        </w:tc>
        <w:tc>
          <w:tcPr>
            <w:tcW w:w="1260" w:type="dxa"/>
            <w:tcBorders>
              <w:top w:val="single" w:sz="4" w:space="0" w:color="auto"/>
              <w:left w:val="nil"/>
              <w:bottom w:val="single" w:sz="4" w:space="0" w:color="auto"/>
              <w:right w:val="single" w:sz="4" w:space="0" w:color="auto"/>
            </w:tcBorders>
            <w:vAlign w:val="center"/>
          </w:tcPr>
          <w:p w:rsidR="00AE7D50" w:rsidRPr="00AD151D" w:rsidRDefault="00AE7D50" w:rsidP="006C5D7A">
            <w:pPr>
              <w:keepNext/>
              <w:keepLines/>
              <w:jc w:val="center"/>
              <w:rPr>
                <w:b/>
                <w:bCs/>
                <w:sz w:val="16"/>
                <w:szCs w:val="16"/>
              </w:rPr>
            </w:pPr>
            <w:r w:rsidRPr="00AD151D">
              <w:rPr>
                <w:b/>
                <w:bCs/>
                <w:sz w:val="16"/>
                <w:szCs w:val="16"/>
              </w:rPr>
              <w:t>I</w:t>
            </w:r>
          </w:p>
        </w:tc>
      </w:tr>
      <w:tr w:rsidR="00AE7D50" w:rsidRPr="00AD151D" w:rsidTr="00C83B76">
        <w:trPr>
          <w:trHeight w:val="602"/>
        </w:trPr>
        <w:tc>
          <w:tcPr>
            <w:tcW w:w="536" w:type="dxa"/>
            <w:tcBorders>
              <w:top w:val="nil"/>
              <w:left w:val="single" w:sz="4" w:space="0" w:color="auto"/>
              <w:bottom w:val="single" w:sz="4" w:space="0" w:color="auto"/>
              <w:right w:val="single" w:sz="4" w:space="0" w:color="auto"/>
            </w:tcBorders>
            <w:vAlign w:val="bottom"/>
          </w:tcPr>
          <w:p w:rsidR="00AE7D50" w:rsidRPr="00AD151D" w:rsidRDefault="00AE7D50" w:rsidP="006C5D7A">
            <w:pPr>
              <w:keepNext/>
              <w:keepLines/>
              <w:jc w:val="right"/>
              <w:rPr>
                <w:b/>
                <w:sz w:val="16"/>
                <w:szCs w:val="16"/>
              </w:rPr>
            </w:pPr>
            <w:r w:rsidRPr="00AD151D">
              <w:rPr>
                <w:b/>
                <w:sz w:val="16"/>
                <w:szCs w:val="16"/>
              </w:rPr>
              <w:t>2011</w:t>
            </w:r>
          </w:p>
        </w:tc>
        <w:tc>
          <w:tcPr>
            <w:tcW w:w="819" w:type="dxa"/>
            <w:tcBorders>
              <w:top w:val="nil"/>
              <w:left w:val="nil"/>
              <w:bottom w:val="single" w:sz="4" w:space="0" w:color="auto"/>
              <w:right w:val="single" w:sz="4" w:space="0" w:color="auto"/>
            </w:tcBorders>
            <w:vAlign w:val="bottom"/>
          </w:tcPr>
          <w:p w:rsidR="00AE7D50" w:rsidRPr="00AD151D" w:rsidRDefault="00AE7D50" w:rsidP="006C5D7A">
            <w:pPr>
              <w:keepNext/>
              <w:keepLines/>
              <w:rPr>
                <w:b/>
                <w:sz w:val="16"/>
                <w:szCs w:val="16"/>
              </w:rPr>
            </w:pPr>
            <w:r w:rsidRPr="00AD151D">
              <w:rPr>
                <w:b/>
                <w:sz w:val="16"/>
                <w:szCs w:val="16"/>
              </w:rPr>
              <w:t>Demand Forecast</w:t>
            </w:r>
            <w:r w:rsidRPr="00AD151D">
              <w:rPr>
                <w:b/>
                <w:sz w:val="16"/>
                <w:szCs w:val="16"/>
                <w:vertAlign w:val="superscript"/>
              </w:rPr>
              <w:t>1</w:t>
            </w:r>
          </w:p>
        </w:tc>
        <w:tc>
          <w:tcPr>
            <w:tcW w:w="788" w:type="dxa"/>
            <w:tcBorders>
              <w:top w:val="nil"/>
              <w:left w:val="nil"/>
              <w:bottom w:val="single" w:sz="4" w:space="0" w:color="auto"/>
              <w:right w:val="single" w:sz="4" w:space="0" w:color="auto"/>
            </w:tcBorders>
            <w:vAlign w:val="bottom"/>
          </w:tcPr>
          <w:p w:rsidR="00AE7D50" w:rsidRPr="00AD151D" w:rsidRDefault="00AE7D50" w:rsidP="006C5D7A">
            <w:pPr>
              <w:keepNext/>
              <w:keepLines/>
              <w:rPr>
                <w:b/>
                <w:sz w:val="16"/>
                <w:szCs w:val="16"/>
              </w:rPr>
            </w:pPr>
            <w:r w:rsidRPr="00AD151D">
              <w:rPr>
                <w:b/>
                <w:sz w:val="16"/>
                <w:szCs w:val="16"/>
              </w:rPr>
              <w:t>Demand Response</w:t>
            </w:r>
          </w:p>
        </w:tc>
        <w:tc>
          <w:tcPr>
            <w:tcW w:w="990" w:type="dxa"/>
            <w:tcBorders>
              <w:top w:val="nil"/>
              <w:left w:val="nil"/>
              <w:bottom w:val="single" w:sz="4" w:space="0" w:color="auto"/>
              <w:right w:val="single" w:sz="4" w:space="0" w:color="auto"/>
            </w:tcBorders>
            <w:vAlign w:val="bottom"/>
          </w:tcPr>
          <w:p w:rsidR="00AE7D50" w:rsidRPr="00AD151D" w:rsidRDefault="00AE7D50" w:rsidP="006C5D7A">
            <w:pPr>
              <w:keepNext/>
              <w:keepLines/>
              <w:rPr>
                <w:b/>
                <w:sz w:val="16"/>
                <w:szCs w:val="16"/>
              </w:rPr>
            </w:pPr>
            <w:r w:rsidRPr="00AD151D">
              <w:rPr>
                <w:b/>
                <w:sz w:val="16"/>
                <w:szCs w:val="16"/>
              </w:rPr>
              <w:t>CAM/RMR</w:t>
            </w:r>
          </w:p>
        </w:tc>
        <w:tc>
          <w:tcPr>
            <w:tcW w:w="922" w:type="dxa"/>
            <w:tcBorders>
              <w:top w:val="nil"/>
              <w:left w:val="nil"/>
              <w:bottom w:val="single" w:sz="4" w:space="0" w:color="auto"/>
              <w:right w:val="single" w:sz="4" w:space="0" w:color="auto"/>
            </w:tcBorders>
            <w:shd w:val="clear" w:color="000000" w:fill="D9D9D9"/>
            <w:vAlign w:val="bottom"/>
          </w:tcPr>
          <w:p w:rsidR="00AE7D50" w:rsidRPr="00AD151D" w:rsidRDefault="00AE7D50" w:rsidP="006C5D7A">
            <w:pPr>
              <w:keepNext/>
              <w:keepLines/>
              <w:rPr>
                <w:b/>
                <w:sz w:val="16"/>
                <w:szCs w:val="16"/>
              </w:rPr>
            </w:pPr>
            <w:r w:rsidRPr="00AD151D">
              <w:rPr>
                <w:b/>
                <w:sz w:val="16"/>
                <w:szCs w:val="16"/>
              </w:rPr>
              <w:t>Net Demand</w:t>
            </w:r>
          </w:p>
        </w:tc>
        <w:tc>
          <w:tcPr>
            <w:tcW w:w="1170" w:type="dxa"/>
            <w:tcBorders>
              <w:top w:val="nil"/>
              <w:left w:val="nil"/>
              <w:bottom w:val="single" w:sz="4" w:space="0" w:color="auto"/>
              <w:right w:val="single" w:sz="4" w:space="0" w:color="auto"/>
            </w:tcBorders>
            <w:shd w:val="clear" w:color="000000" w:fill="D9D9D9"/>
            <w:vAlign w:val="bottom"/>
          </w:tcPr>
          <w:p w:rsidR="00AE7D50" w:rsidRPr="00AD151D" w:rsidRDefault="00AE7D50" w:rsidP="006C5D7A">
            <w:pPr>
              <w:keepNext/>
              <w:keepLines/>
              <w:rPr>
                <w:b/>
                <w:sz w:val="16"/>
                <w:szCs w:val="16"/>
              </w:rPr>
            </w:pPr>
            <w:r w:rsidRPr="00AD151D">
              <w:rPr>
                <w:b/>
                <w:sz w:val="16"/>
                <w:szCs w:val="16"/>
              </w:rPr>
              <w:t>RAR</w:t>
            </w:r>
          </w:p>
        </w:tc>
        <w:tc>
          <w:tcPr>
            <w:tcW w:w="878" w:type="dxa"/>
            <w:tcBorders>
              <w:top w:val="nil"/>
              <w:left w:val="nil"/>
              <w:bottom w:val="single" w:sz="4" w:space="0" w:color="auto"/>
              <w:right w:val="single" w:sz="4" w:space="0" w:color="auto"/>
            </w:tcBorders>
            <w:vAlign w:val="bottom"/>
          </w:tcPr>
          <w:p w:rsidR="00AE7D50" w:rsidRPr="00AD151D" w:rsidRDefault="00AE7D50" w:rsidP="006C5D7A">
            <w:pPr>
              <w:keepNext/>
              <w:keepLines/>
              <w:rPr>
                <w:b/>
                <w:sz w:val="16"/>
                <w:szCs w:val="16"/>
              </w:rPr>
            </w:pPr>
            <w:r w:rsidRPr="00AD151D">
              <w:rPr>
                <w:b/>
                <w:sz w:val="16"/>
                <w:szCs w:val="16"/>
              </w:rPr>
              <w:t>Total R</w:t>
            </w:r>
            <w:r w:rsidR="00CB3386" w:rsidRPr="00AD151D">
              <w:rPr>
                <w:b/>
                <w:sz w:val="16"/>
                <w:szCs w:val="16"/>
              </w:rPr>
              <w:t>A</w:t>
            </w:r>
            <w:r w:rsidRPr="00AD151D">
              <w:rPr>
                <w:b/>
                <w:sz w:val="16"/>
                <w:szCs w:val="16"/>
              </w:rPr>
              <w:t xml:space="preserve"> Reported</w:t>
            </w:r>
          </w:p>
        </w:tc>
        <w:tc>
          <w:tcPr>
            <w:tcW w:w="1080" w:type="dxa"/>
            <w:tcBorders>
              <w:top w:val="nil"/>
              <w:left w:val="nil"/>
              <w:bottom w:val="single" w:sz="4" w:space="0" w:color="auto"/>
              <w:right w:val="single" w:sz="4" w:space="0" w:color="auto"/>
            </w:tcBorders>
            <w:shd w:val="clear" w:color="000000" w:fill="D9D9D9"/>
            <w:vAlign w:val="bottom"/>
          </w:tcPr>
          <w:p w:rsidR="00AE7D50" w:rsidRPr="00AD151D" w:rsidRDefault="00AE7D50" w:rsidP="006C5D7A">
            <w:pPr>
              <w:keepNext/>
              <w:keepLines/>
              <w:rPr>
                <w:b/>
                <w:sz w:val="16"/>
                <w:szCs w:val="16"/>
              </w:rPr>
            </w:pPr>
            <w:r w:rsidRPr="00AD151D">
              <w:rPr>
                <w:b/>
                <w:sz w:val="16"/>
                <w:szCs w:val="16"/>
              </w:rPr>
              <w:t>Resources Reported as % of RAR</w:t>
            </w:r>
          </w:p>
        </w:tc>
        <w:tc>
          <w:tcPr>
            <w:tcW w:w="1260" w:type="dxa"/>
            <w:tcBorders>
              <w:top w:val="nil"/>
              <w:left w:val="nil"/>
              <w:bottom w:val="single" w:sz="4" w:space="0" w:color="auto"/>
              <w:right w:val="single" w:sz="4" w:space="0" w:color="auto"/>
            </w:tcBorders>
            <w:shd w:val="clear" w:color="000000" w:fill="D9D9D9"/>
            <w:vAlign w:val="bottom"/>
          </w:tcPr>
          <w:p w:rsidR="00AE7D50" w:rsidRPr="00AD151D" w:rsidRDefault="00AE7D50" w:rsidP="006C5D7A">
            <w:pPr>
              <w:keepNext/>
              <w:keepLines/>
              <w:rPr>
                <w:b/>
                <w:sz w:val="16"/>
                <w:szCs w:val="16"/>
              </w:rPr>
            </w:pPr>
            <w:r w:rsidRPr="00AD151D">
              <w:rPr>
                <w:b/>
                <w:sz w:val="16"/>
                <w:szCs w:val="16"/>
              </w:rPr>
              <w:t>Resources Reported as % of Net Demand</w:t>
            </w:r>
          </w:p>
        </w:tc>
      </w:tr>
      <w:tr w:rsidR="00AE7D50" w:rsidRPr="00AD151D" w:rsidTr="00C83B76">
        <w:trPr>
          <w:trHeight w:val="278"/>
        </w:trPr>
        <w:tc>
          <w:tcPr>
            <w:tcW w:w="536" w:type="dxa"/>
            <w:tcBorders>
              <w:top w:val="nil"/>
              <w:left w:val="single" w:sz="4" w:space="0" w:color="auto"/>
              <w:bottom w:val="single" w:sz="4" w:space="0" w:color="auto"/>
              <w:right w:val="single" w:sz="4" w:space="0" w:color="auto"/>
            </w:tcBorders>
            <w:vAlign w:val="bottom"/>
          </w:tcPr>
          <w:p w:rsidR="00AE7D50" w:rsidRPr="00AD151D" w:rsidRDefault="00AE7D50" w:rsidP="006C5D7A">
            <w:pPr>
              <w:keepNext/>
              <w:keepLines/>
              <w:rPr>
                <w:i/>
                <w:iCs/>
                <w:sz w:val="16"/>
                <w:szCs w:val="16"/>
              </w:rPr>
            </w:pPr>
            <w:r w:rsidRPr="00AD151D">
              <w:rPr>
                <w:i/>
                <w:iCs/>
                <w:sz w:val="16"/>
                <w:szCs w:val="16"/>
              </w:rPr>
              <w:t> </w:t>
            </w:r>
          </w:p>
        </w:tc>
        <w:tc>
          <w:tcPr>
            <w:tcW w:w="819" w:type="dxa"/>
            <w:tcBorders>
              <w:top w:val="nil"/>
              <w:left w:val="nil"/>
              <w:bottom w:val="single" w:sz="4" w:space="0" w:color="auto"/>
              <w:right w:val="single" w:sz="4" w:space="0" w:color="auto"/>
            </w:tcBorders>
            <w:vAlign w:val="bottom"/>
          </w:tcPr>
          <w:p w:rsidR="00AE7D50" w:rsidRPr="00AD151D" w:rsidRDefault="00AE7D50" w:rsidP="006C5D7A">
            <w:pPr>
              <w:keepNext/>
              <w:keepLines/>
              <w:rPr>
                <w:i/>
                <w:iCs/>
                <w:sz w:val="16"/>
                <w:szCs w:val="16"/>
              </w:rPr>
            </w:pPr>
            <w:r w:rsidRPr="00AD151D">
              <w:rPr>
                <w:i/>
                <w:iCs/>
                <w:sz w:val="16"/>
                <w:szCs w:val="16"/>
              </w:rPr>
              <w:t> </w:t>
            </w:r>
          </w:p>
        </w:tc>
        <w:tc>
          <w:tcPr>
            <w:tcW w:w="788" w:type="dxa"/>
            <w:tcBorders>
              <w:top w:val="nil"/>
              <w:left w:val="nil"/>
              <w:bottom w:val="single" w:sz="4" w:space="0" w:color="auto"/>
              <w:right w:val="single" w:sz="4" w:space="0" w:color="auto"/>
            </w:tcBorders>
            <w:vAlign w:val="bottom"/>
          </w:tcPr>
          <w:p w:rsidR="00AE7D50" w:rsidRPr="00AD151D" w:rsidRDefault="00AE7D50" w:rsidP="006C5D7A">
            <w:pPr>
              <w:keepNext/>
              <w:keepLines/>
              <w:rPr>
                <w:i/>
                <w:iCs/>
                <w:sz w:val="16"/>
                <w:szCs w:val="16"/>
              </w:rPr>
            </w:pPr>
            <w:r w:rsidRPr="00AD151D">
              <w:rPr>
                <w:i/>
                <w:iCs/>
                <w:sz w:val="16"/>
                <w:szCs w:val="16"/>
              </w:rPr>
              <w:t> </w:t>
            </w:r>
          </w:p>
        </w:tc>
        <w:tc>
          <w:tcPr>
            <w:tcW w:w="990" w:type="dxa"/>
            <w:tcBorders>
              <w:top w:val="nil"/>
              <w:left w:val="nil"/>
              <w:bottom w:val="single" w:sz="4" w:space="0" w:color="auto"/>
              <w:right w:val="single" w:sz="4" w:space="0" w:color="auto"/>
            </w:tcBorders>
            <w:vAlign w:val="bottom"/>
          </w:tcPr>
          <w:p w:rsidR="00AE7D50" w:rsidRPr="00AD151D" w:rsidRDefault="00AE7D50" w:rsidP="006C5D7A">
            <w:pPr>
              <w:keepNext/>
              <w:keepLines/>
              <w:rPr>
                <w:i/>
                <w:iCs/>
                <w:sz w:val="16"/>
                <w:szCs w:val="16"/>
              </w:rPr>
            </w:pPr>
            <w:r w:rsidRPr="00AD151D">
              <w:rPr>
                <w:i/>
                <w:iCs/>
                <w:sz w:val="16"/>
                <w:szCs w:val="16"/>
              </w:rPr>
              <w:t> </w:t>
            </w:r>
          </w:p>
        </w:tc>
        <w:tc>
          <w:tcPr>
            <w:tcW w:w="922" w:type="dxa"/>
            <w:tcBorders>
              <w:top w:val="nil"/>
              <w:left w:val="nil"/>
              <w:bottom w:val="single" w:sz="4" w:space="0" w:color="auto"/>
              <w:right w:val="single" w:sz="4" w:space="0" w:color="auto"/>
            </w:tcBorders>
            <w:shd w:val="clear" w:color="000000" w:fill="D9D9D9"/>
            <w:vAlign w:val="bottom"/>
          </w:tcPr>
          <w:p w:rsidR="00AE7D50" w:rsidRPr="00AD151D" w:rsidRDefault="00AE7D50" w:rsidP="006C5D7A">
            <w:pPr>
              <w:keepNext/>
              <w:keepLines/>
              <w:rPr>
                <w:i/>
                <w:iCs/>
                <w:sz w:val="16"/>
                <w:szCs w:val="16"/>
              </w:rPr>
            </w:pPr>
            <w:r w:rsidRPr="00AD151D">
              <w:rPr>
                <w:i/>
                <w:iCs/>
                <w:sz w:val="16"/>
                <w:szCs w:val="16"/>
              </w:rPr>
              <w:t>E=B-C</w:t>
            </w:r>
          </w:p>
        </w:tc>
        <w:tc>
          <w:tcPr>
            <w:tcW w:w="1170" w:type="dxa"/>
            <w:tcBorders>
              <w:top w:val="nil"/>
              <w:left w:val="nil"/>
              <w:bottom w:val="single" w:sz="4" w:space="0" w:color="auto"/>
              <w:right w:val="single" w:sz="4" w:space="0" w:color="auto"/>
            </w:tcBorders>
            <w:shd w:val="clear" w:color="000000" w:fill="D9D9D9"/>
            <w:vAlign w:val="bottom"/>
          </w:tcPr>
          <w:p w:rsidR="00AE7D50" w:rsidRPr="00AD151D" w:rsidRDefault="00AE7D50" w:rsidP="006C5D7A">
            <w:pPr>
              <w:keepNext/>
              <w:keepLines/>
              <w:rPr>
                <w:i/>
                <w:iCs/>
                <w:sz w:val="16"/>
                <w:szCs w:val="16"/>
              </w:rPr>
            </w:pPr>
            <w:r w:rsidRPr="00AD151D">
              <w:rPr>
                <w:i/>
                <w:iCs/>
                <w:sz w:val="16"/>
                <w:szCs w:val="16"/>
              </w:rPr>
              <w:t>F=(E*1.15)-D</w:t>
            </w:r>
          </w:p>
        </w:tc>
        <w:tc>
          <w:tcPr>
            <w:tcW w:w="878" w:type="dxa"/>
            <w:tcBorders>
              <w:top w:val="nil"/>
              <w:left w:val="nil"/>
              <w:bottom w:val="single" w:sz="4" w:space="0" w:color="auto"/>
              <w:right w:val="single" w:sz="4" w:space="0" w:color="auto"/>
            </w:tcBorders>
            <w:vAlign w:val="bottom"/>
          </w:tcPr>
          <w:p w:rsidR="00AE7D50" w:rsidRPr="00AD151D" w:rsidRDefault="00AE7D50" w:rsidP="006C5D7A">
            <w:pPr>
              <w:keepNext/>
              <w:keepLines/>
              <w:rPr>
                <w:i/>
                <w:iCs/>
                <w:sz w:val="16"/>
                <w:szCs w:val="16"/>
              </w:rPr>
            </w:pPr>
            <w:r w:rsidRPr="00AD151D">
              <w:rPr>
                <w:i/>
                <w:iCs/>
                <w:sz w:val="16"/>
                <w:szCs w:val="16"/>
              </w:rPr>
              <w:t> </w:t>
            </w:r>
          </w:p>
        </w:tc>
        <w:tc>
          <w:tcPr>
            <w:tcW w:w="1080" w:type="dxa"/>
            <w:tcBorders>
              <w:top w:val="nil"/>
              <w:left w:val="nil"/>
              <w:bottom w:val="single" w:sz="4" w:space="0" w:color="auto"/>
              <w:right w:val="single" w:sz="4" w:space="0" w:color="auto"/>
            </w:tcBorders>
            <w:shd w:val="clear" w:color="000000" w:fill="D9D9D9"/>
            <w:vAlign w:val="bottom"/>
          </w:tcPr>
          <w:p w:rsidR="00AE7D50" w:rsidRPr="00AD151D" w:rsidRDefault="00AE7D50" w:rsidP="006C5D7A">
            <w:pPr>
              <w:keepNext/>
              <w:keepLines/>
              <w:rPr>
                <w:i/>
                <w:iCs/>
                <w:sz w:val="16"/>
                <w:szCs w:val="16"/>
              </w:rPr>
            </w:pPr>
            <w:r w:rsidRPr="00AD151D">
              <w:rPr>
                <w:i/>
                <w:iCs/>
                <w:sz w:val="16"/>
                <w:szCs w:val="16"/>
              </w:rPr>
              <w:t>G=F/E</w:t>
            </w:r>
          </w:p>
        </w:tc>
        <w:tc>
          <w:tcPr>
            <w:tcW w:w="1260" w:type="dxa"/>
            <w:tcBorders>
              <w:top w:val="nil"/>
              <w:left w:val="nil"/>
              <w:bottom w:val="single" w:sz="4" w:space="0" w:color="auto"/>
              <w:right w:val="single" w:sz="4" w:space="0" w:color="auto"/>
            </w:tcBorders>
            <w:shd w:val="clear" w:color="000000" w:fill="D9D9D9"/>
            <w:vAlign w:val="bottom"/>
          </w:tcPr>
          <w:p w:rsidR="00AE7D50" w:rsidRPr="00AD151D" w:rsidRDefault="00AE7D50" w:rsidP="006C5D7A">
            <w:pPr>
              <w:keepNext/>
              <w:keepLines/>
              <w:rPr>
                <w:i/>
                <w:iCs/>
                <w:sz w:val="16"/>
                <w:szCs w:val="16"/>
              </w:rPr>
            </w:pPr>
            <w:r w:rsidRPr="00AD151D">
              <w:rPr>
                <w:i/>
                <w:iCs/>
                <w:sz w:val="16"/>
                <w:szCs w:val="16"/>
              </w:rPr>
              <w:t>H=F/D</w:t>
            </w:r>
          </w:p>
        </w:tc>
      </w:tr>
      <w:tr w:rsidR="00CB3386" w:rsidRPr="00AD151D" w:rsidTr="00C83B76">
        <w:trPr>
          <w:trHeight w:val="179"/>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Jan</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29,212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1,065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28,147</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31,285</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32,898</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105%</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117%</w:t>
            </w:r>
          </w:p>
        </w:tc>
      </w:tr>
      <w:tr w:rsidR="00CB3386" w:rsidRPr="00AD151D" w:rsidTr="00C83B76">
        <w:trPr>
          <w:trHeight w:val="347"/>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Feb</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28,285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1,110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27,175</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30,167</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32,067</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106%</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118%</w:t>
            </w:r>
          </w:p>
        </w:tc>
      </w:tr>
      <w:tr w:rsidR="00CB3386" w:rsidRPr="00AD151D" w:rsidTr="00C83B76">
        <w:trPr>
          <w:trHeight w:val="347"/>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Mar</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28,414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1,150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27,264</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30,269</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32,750</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108%</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120%</w:t>
            </w:r>
          </w:p>
        </w:tc>
      </w:tr>
      <w:tr w:rsidR="00CB3386" w:rsidRPr="00AD151D" w:rsidTr="00C83B76">
        <w:trPr>
          <w:trHeight w:val="347"/>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Apr</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30,175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1,265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28,910</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32,162</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34,515</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107%</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119%</w:t>
            </w:r>
          </w:p>
        </w:tc>
      </w:tr>
      <w:tr w:rsidR="00CB3386" w:rsidRPr="00AD151D" w:rsidTr="00C83B76">
        <w:trPr>
          <w:trHeight w:val="347"/>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May</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34,397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1,740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32,656</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36,471</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37,576</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103%</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115%</w:t>
            </w:r>
          </w:p>
        </w:tc>
      </w:tr>
      <w:tr w:rsidR="00CB3386" w:rsidRPr="00AD151D" w:rsidTr="00C83B76">
        <w:trPr>
          <w:trHeight w:val="347"/>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Jun</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39,063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2,337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36,726</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41,150</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42,633</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104%</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116%</w:t>
            </w:r>
          </w:p>
        </w:tc>
      </w:tr>
      <w:tr w:rsidR="00CB3386" w:rsidRPr="00AD151D" w:rsidTr="00C83B76">
        <w:trPr>
          <w:trHeight w:val="347"/>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Jul</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43,527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2,688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40,839</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45,881</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46,886</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102%</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115%</w:t>
            </w:r>
          </w:p>
        </w:tc>
      </w:tr>
      <w:tr w:rsidR="00CB3386" w:rsidRPr="00AD151D" w:rsidTr="00C83B76">
        <w:trPr>
          <w:trHeight w:val="347"/>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Aug</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45,141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2,580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42,561</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47,861</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48,461</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101%</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114%</w:t>
            </w:r>
          </w:p>
        </w:tc>
      </w:tr>
      <w:tr w:rsidR="00CB3386" w:rsidRPr="00AD151D" w:rsidTr="00C83B76">
        <w:trPr>
          <w:trHeight w:val="278"/>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Sep</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41,620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2,619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39,001</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43,767</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44,787</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102%</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115%</w:t>
            </w:r>
          </w:p>
        </w:tc>
      </w:tr>
      <w:tr w:rsidR="00CB3386" w:rsidRPr="00AD151D" w:rsidTr="00C83B76">
        <w:trPr>
          <w:trHeight w:val="269"/>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Oct</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33,764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1,738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32,027</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35,746</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37,154</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104%</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116%</w:t>
            </w:r>
          </w:p>
        </w:tc>
      </w:tr>
      <w:tr w:rsidR="00CB3386" w:rsidRPr="00AD151D" w:rsidTr="00C83B76">
        <w:trPr>
          <w:trHeight w:val="278"/>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Nov</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29,474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1,347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28,127</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31,261</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33,116</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106%</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118%</w:t>
            </w:r>
          </w:p>
        </w:tc>
      </w:tr>
      <w:tr w:rsidR="00CB3386" w:rsidRPr="00AD151D" w:rsidTr="00C83B76">
        <w:trPr>
          <w:trHeight w:val="233"/>
        </w:trPr>
        <w:tc>
          <w:tcPr>
            <w:tcW w:w="536" w:type="dxa"/>
            <w:tcBorders>
              <w:top w:val="nil"/>
              <w:left w:val="single" w:sz="4" w:space="0" w:color="auto"/>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Dec</w:t>
            </w:r>
          </w:p>
        </w:tc>
        <w:tc>
          <w:tcPr>
            <w:tcW w:w="819" w:type="dxa"/>
            <w:tcBorders>
              <w:top w:val="nil"/>
              <w:left w:val="nil"/>
              <w:bottom w:val="single" w:sz="4" w:space="0" w:color="auto"/>
              <w:right w:val="single" w:sz="4" w:space="0" w:color="auto"/>
            </w:tcBorders>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31,504 </w:t>
            </w:r>
          </w:p>
        </w:tc>
        <w:tc>
          <w:tcPr>
            <w:tcW w:w="78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1,276 </w:t>
            </w:r>
          </w:p>
        </w:tc>
        <w:tc>
          <w:tcPr>
            <w:tcW w:w="990"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 xml:space="preserve">        1,084 </w:t>
            </w:r>
          </w:p>
        </w:tc>
        <w:tc>
          <w:tcPr>
            <w:tcW w:w="922"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b/>
                <w:sz w:val="16"/>
                <w:szCs w:val="16"/>
              </w:rPr>
            </w:pPr>
            <w:r w:rsidRPr="00AD151D">
              <w:rPr>
                <w:b/>
                <w:sz w:val="16"/>
                <w:szCs w:val="16"/>
              </w:rPr>
              <w:t>30,228</w:t>
            </w:r>
          </w:p>
        </w:tc>
        <w:tc>
          <w:tcPr>
            <w:tcW w:w="117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33,678</w:t>
            </w:r>
          </w:p>
        </w:tc>
        <w:tc>
          <w:tcPr>
            <w:tcW w:w="878" w:type="dxa"/>
            <w:tcBorders>
              <w:top w:val="nil"/>
              <w:left w:val="nil"/>
              <w:bottom w:val="single" w:sz="4" w:space="0" w:color="auto"/>
              <w:right w:val="single" w:sz="4" w:space="0" w:color="auto"/>
            </w:tcBorders>
            <w:noWrap/>
            <w:vAlign w:val="bottom"/>
          </w:tcPr>
          <w:p w:rsidR="00CB3386" w:rsidRPr="00AD151D" w:rsidRDefault="00CB3386" w:rsidP="007D0547">
            <w:pPr>
              <w:keepNext/>
              <w:keepLines/>
              <w:spacing w:before="20" w:afterLines="20" w:after="48"/>
              <w:jc w:val="right"/>
              <w:rPr>
                <w:sz w:val="16"/>
                <w:szCs w:val="16"/>
              </w:rPr>
            </w:pPr>
            <w:r w:rsidRPr="00AD151D">
              <w:rPr>
                <w:sz w:val="16"/>
                <w:szCs w:val="16"/>
              </w:rPr>
              <w:t>35,266</w:t>
            </w:r>
          </w:p>
        </w:tc>
        <w:tc>
          <w:tcPr>
            <w:tcW w:w="108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105%</w:t>
            </w:r>
          </w:p>
        </w:tc>
        <w:tc>
          <w:tcPr>
            <w:tcW w:w="1260" w:type="dxa"/>
            <w:tcBorders>
              <w:top w:val="nil"/>
              <w:left w:val="nil"/>
              <w:bottom w:val="single" w:sz="4" w:space="0" w:color="auto"/>
              <w:right w:val="single" w:sz="4" w:space="0" w:color="auto"/>
            </w:tcBorders>
            <w:shd w:val="clear" w:color="000000" w:fill="D9D9D9"/>
            <w:vAlign w:val="bottom"/>
          </w:tcPr>
          <w:p w:rsidR="00CB3386" w:rsidRPr="00AD151D" w:rsidRDefault="00CB3386" w:rsidP="007D0547">
            <w:pPr>
              <w:keepNext/>
              <w:keepLines/>
              <w:spacing w:before="20" w:afterLines="20" w:after="48"/>
              <w:jc w:val="right"/>
              <w:rPr>
                <w:sz w:val="16"/>
                <w:szCs w:val="16"/>
              </w:rPr>
            </w:pPr>
            <w:r w:rsidRPr="00AD151D">
              <w:rPr>
                <w:sz w:val="16"/>
                <w:szCs w:val="16"/>
              </w:rPr>
              <w:t>117%</w:t>
            </w:r>
          </w:p>
        </w:tc>
      </w:tr>
    </w:tbl>
    <w:p w:rsidR="00AE7D50" w:rsidRPr="00F669D6" w:rsidRDefault="00AE7D50" w:rsidP="00580872">
      <w:pPr>
        <w:pStyle w:val="Caption"/>
        <w:keepNext/>
        <w:keepLines/>
        <w:spacing w:before="120"/>
        <w:rPr>
          <w:b w:val="0"/>
        </w:rPr>
      </w:pPr>
      <w:r w:rsidRPr="00F669D6">
        <w:rPr>
          <w:b w:val="0"/>
        </w:rPr>
        <w:t>Source: Aggregated LSE Monthly RA Filings</w:t>
      </w:r>
      <w:r w:rsidRPr="00F669D6">
        <w:rPr>
          <w:rStyle w:val="FootnoteReference"/>
          <w:b w:val="0"/>
        </w:rPr>
        <w:footnoteReference w:id="20"/>
      </w:r>
      <w:r w:rsidRPr="00F669D6">
        <w:rPr>
          <w:b w:val="0"/>
        </w:rPr>
        <w:t xml:space="preserve"> </w:t>
      </w:r>
    </w:p>
    <w:p w:rsidR="00AE7D50" w:rsidRPr="00277DC8" w:rsidRDefault="00AE7D50">
      <w:pPr>
        <w:pStyle w:val="Heading2"/>
        <w:numPr>
          <w:ilvl w:val="1"/>
          <w:numId w:val="18"/>
        </w:numPr>
        <w:rPr>
          <w:i w:val="0"/>
        </w:rPr>
      </w:pPr>
      <w:bookmarkStart w:id="51" w:name="_Toc347827047"/>
      <w:r w:rsidRPr="00277DC8">
        <w:rPr>
          <w:i w:val="0"/>
        </w:rPr>
        <w:t>Local RA Program – CPUC Jurisdictional LSEs</w:t>
      </w:r>
      <w:bookmarkEnd w:id="51"/>
    </w:p>
    <w:p w:rsidR="00AE7D50" w:rsidRPr="00AD151D" w:rsidRDefault="00AE7D50">
      <w:pPr>
        <w:pStyle w:val="ListBullet"/>
        <w:tabs>
          <w:tab w:val="clear" w:pos="360"/>
        </w:tabs>
        <w:spacing w:before="120"/>
        <w:ind w:left="0" w:firstLine="720"/>
      </w:pPr>
      <w:r w:rsidRPr="00AD151D">
        <w:t>Beginning with the 2007 compliance year, the CPUC required LSEs to</w:t>
      </w:r>
      <w:r w:rsidR="00580872">
        <w:t xml:space="preserve"> file an</w:t>
      </w:r>
      <w:r w:rsidRPr="00AD151D">
        <w:t xml:space="preserve"> </w:t>
      </w:r>
      <w:r w:rsidR="00580872">
        <w:t xml:space="preserve">annual </w:t>
      </w:r>
      <w:r w:rsidRPr="00AD151D">
        <w:t>demonstrat</w:t>
      </w:r>
      <w:r w:rsidR="00580872">
        <w:t>ion</w:t>
      </w:r>
      <w:r w:rsidRPr="00AD151D">
        <w:t xml:space="preserve"> that they acquired adequate generation capacity within defined transmission-constrained areas.  D.10-03-022 adopted a biannual Local RA true up process for 2010, and D.10-12-038 modified and adopted an alternative mechanism for 2011 and beyond.</w:t>
      </w:r>
      <w:r w:rsidRPr="00AD151D">
        <w:rPr>
          <w:rStyle w:val="FootnoteReference"/>
        </w:rPr>
        <w:footnoteReference w:id="21"/>
      </w:r>
      <w:r w:rsidRPr="00AD151D">
        <w:t xml:space="preserve">  For the 2011 compliance year, there were two cycles of Local RA True-ups, where incremental amounts of load migration meant incremental adjustments made to each LSE’s Local RA obligation.</w:t>
      </w:r>
      <w:r w:rsidR="003546BE" w:rsidRPr="003546BE">
        <w:t xml:space="preserve"> </w:t>
      </w:r>
      <w:r w:rsidR="003546BE" w:rsidRPr="00AD151D">
        <w:t>One adjustment is made in February for the May and June 2011 compliance months, and the second is made in April for the July through December 2011 compliance months.</w:t>
      </w:r>
    </w:p>
    <w:p w:rsidR="00AE7D50" w:rsidRPr="00AD151D" w:rsidRDefault="00AE7D50">
      <w:pPr>
        <w:pStyle w:val="Heading3"/>
        <w:numPr>
          <w:ilvl w:val="2"/>
          <w:numId w:val="18"/>
        </w:numPr>
      </w:pPr>
      <w:bookmarkStart w:id="52" w:name="_Toc224022437"/>
      <w:bookmarkStart w:id="53" w:name="_Toc347827048"/>
      <w:r w:rsidRPr="00AD151D">
        <w:t>Year Ahead Local RA Procurement</w:t>
      </w:r>
      <w:bookmarkEnd w:id="53"/>
      <w:r w:rsidRPr="00AD151D">
        <w:t xml:space="preserve"> </w:t>
      </w:r>
      <w:bookmarkEnd w:id="52"/>
    </w:p>
    <w:p w:rsidR="00AE7D50" w:rsidRPr="00AD151D" w:rsidRDefault="001F42D5">
      <w:pPr>
        <w:pStyle w:val="Noraml"/>
        <w:spacing w:before="120" w:line="240" w:lineRule="auto"/>
        <w:rPr>
          <w:rFonts w:ascii="Times New Roman" w:hAnsi="Times New Roman"/>
          <w:sz w:val="24"/>
        </w:rPr>
      </w:pPr>
      <w:r w:rsidRPr="00AD151D">
        <w:rPr>
          <w:rFonts w:ascii="Times New Roman" w:hAnsi="Times New Roman"/>
          <w:sz w:val="24"/>
        </w:rPr>
        <w:t>In D.10</w:t>
      </w:r>
      <w:r w:rsidR="00641711" w:rsidRPr="00AD151D">
        <w:rPr>
          <w:rFonts w:ascii="Times New Roman" w:hAnsi="Times New Roman"/>
          <w:sz w:val="24"/>
        </w:rPr>
        <w:t>-06-036</w:t>
      </w:r>
      <w:r w:rsidR="00AE7D50" w:rsidRPr="00AD151D">
        <w:rPr>
          <w:rFonts w:ascii="Times New Roman" w:hAnsi="Times New Roman"/>
          <w:sz w:val="24"/>
        </w:rPr>
        <w:t xml:space="preserve"> the CPUC establish</w:t>
      </w:r>
      <w:r w:rsidRPr="00AD151D">
        <w:rPr>
          <w:rFonts w:ascii="Times New Roman" w:hAnsi="Times New Roman"/>
          <w:sz w:val="24"/>
        </w:rPr>
        <w:t>ed Local RA obligations for 2011</w:t>
      </w:r>
      <w:r w:rsidR="00AE7D50" w:rsidRPr="00AD151D">
        <w:rPr>
          <w:rFonts w:ascii="Times New Roman" w:hAnsi="Times New Roman"/>
          <w:sz w:val="24"/>
        </w:rPr>
        <w:t xml:space="preserve"> compliance year and ordered LSEs to procure Local RA capacity in each of five Local Areas (Big Creek/Ventura, LA Basin, San Diego, Greater Bay </w:t>
      </w:r>
      <w:r w:rsidR="00AE7D50" w:rsidRPr="00AD151D">
        <w:rPr>
          <w:rFonts w:ascii="Times New Roman" w:hAnsi="Times New Roman"/>
          <w:sz w:val="24"/>
          <w:szCs w:val="24"/>
        </w:rPr>
        <w:t xml:space="preserve">Area, and Other PG&amp;E Local).  </w:t>
      </w:r>
      <w:r w:rsidR="00AE7D50" w:rsidRPr="00AD151D">
        <w:rPr>
          <w:rFonts w:ascii="Times New Roman" w:hAnsi="Times New Roman"/>
          <w:sz w:val="24"/>
        </w:rPr>
        <w:t>These Local Area obligations are informed by the CAISO’s 201</w:t>
      </w:r>
      <w:r w:rsidR="00641711" w:rsidRPr="00AD151D">
        <w:rPr>
          <w:rFonts w:ascii="Times New Roman" w:hAnsi="Times New Roman"/>
          <w:sz w:val="24"/>
        </w:rPr>
        <w:t>1</w:t>
      </w:r>
      <w:r w:rsidR="00AE7D50" w:rsidRPr="00AD151D">
        <w:rPr>
          <w:rFonts w:ascii="Times New Roman" w:hAnsi="Times New Roman"/>
          <w:sz w:val="24"/>
        </w:rPr>
        <w:t xml:space="preserve"> Local Capacity Technical Analysis.</w:t>
      </w:r>
      <w:r w:rsidR="00AE7D50" w:rsidRPr="00AD151D">
        <w:rPr>
          <w:rStyle w:val="FootnoteReference"/>
          <w:rFonts w:ascii="Times New Roman" w:hAnsi="Times New Roman"/>
          <w:sz w:val="24"/>
        </w:rPr>
        <w:footnoteReference w:id="22"/>
      </w:r>
      <w:r w:rsidR="00AE7D50" w:rsidRPr="00AD151D">
        <w:rPr>
          <w:rFonts w:ascii="Times New Roman" w:hAnsi="Times New Roman"/>
          <w:sz w:val="24"/>
        </w:rPr>
        <w:t xml:space="preserve">  </w:t>
      </w:r>
    </w:p>
    <w:p w:rsidR="00AE7D50" w:rsidRPr="00AD151D" w:rsidRDefault="00AE7D50">
      <w:pPr>
        <w:pStyle w:val="Noraml"/>
        <w:spacing w:before="120" w:line="240" w:lineRule="auto"/>
        <w:rPr>
          <w:rFonts w:ascii="Times New Roman" w:hAnsi="Times New Roman"/>
          <w:sz w:val="24"/>
        </w:rPr>
      </w:pPr>
      <w:r w:rsidRPr="00AD151D">
        <w:rPr>
          <w:rFonts w:ascii="Times New Roman" w:hAnsi="Times New Roman"/>
          <w:sz w:val="24"/>
          <w:szCs w:val="24"/>
        </w:rPr>
        <w:lastRenderedPageBreak/>
        <w:t>CPUC jurisdictional LSEs’ overall Local RA procurement for 201</w:t>
      </w:r>
      <w:r w:rsidR="00641711" w:rsidRPr="00AD151D">
        <w:rPr>
          <w:rFonts w:ascii="Times New Roman" w:hAnsi="Times New Roman"/>
          <w:sz w:val="24"/>
          <w:szCs w:val="24"/>
        </w:rPr>
        <w:t>1</w:t>
      </w:r>
      <w:r w:rsidRPr="00AD151D">
        <w:rPr>
          <w:rFonts w:ascii="Times New Roman" w:hAnsi="Times New Roman"/>
          <w:sz w:val="24"/>
          <w:szCs w:val="24"/>
        </w:rPr>
        <w:t xml:space="preserve"> is summarized in </w:t>
      </w:r>
      <w:r w:rsidR="00F27FC0" w:rsidRPr="00AD151D">
        <w:fldChar w:fldCharType="begin"/>
      </w:r>
      <w:r w:rsidR="00F27FC0" w:rsidRPr="00AD151D">
        <w:instrText xml:space="preserve"> REF _Ref225160729 \h  \* MERGEFORMAT </w:instrText>
      </w:r>
      <w:r w:rsidR="00F27FC0" w:rsidRPr="00AD151D">
        <w:fldChar w:fldCharType="separate"/>
      </w:r>
      <w:r w:rsidR="00B3535E" w:rsidRPr="00B3535E">
        <w:rPr>
          <w:rFonts w:ascii="Times New Roman" w:hAnsi="Times New Roman"/>
          <w:sz w:val="24"/>
          <w:szCs w:val="24"/>
        </w:rPr>
        <w:t>Table 5</w:t>
      </w:r>
      <w:r w:rsidR="00F27FC0" w:rsidRPr="00AD151D">
        <w:fldChar w:fldCharType="end"/>
      </w:r>
      <w:r w:rsidRPr="00AD151D">
        <w:rPr>
          <w:rFonts w:ascii="Times New Roman" w:hAnsi="Times New Roman"/>
          <w:sz w:val="24"/>
          <w:szCs w:val="24"/>
        </w:rPr>
        <w:t>.  CPUC jurisdictional LSEs procured Local RA Resources sufficient to meet CPUC Local RA obligations in all five Local Areas of California in 201</w:t>
      </w:r>
      <w:r w:rsidR="003A04F3" w:rsidRPr="00AD151D">
        <w:rPr>
          <w:rFonts w:ascii="Times New Roman" w:hAnsi="Times New Roman"/>
          <w:sz w:val="24"/>
          <w:szCs w:val="24"/>
        </w:rPr>
        <w:t>1</w:t>
      </w:r>
      <w:r w:rsidRPr="00AD151D">
        <w:rPr>
          <w:rFonts w:ascii="Times New Roman" w:hAnsi="Times New Roman"/>
          <w:sz w:val="24"/>
          <w:szCs w:val="24"/>
        </w:rPr>
        <w:t>, with aggregate minimum procurement exceeding Local RAR by 1</w:t>
      </w:r>
      <w:r w:rsidR="001B7740">
        <w:rPr>
          <w:rFonts w:ascii="Times New Roman" w:hAnsi="Times New Roman"/>
          <w:sz w:val="24"/>
          <w:szCs w:val="24"/>
        </w:rPr>
        <w:t>0</w:t>
      </w:r>
      <w:r w:rsidRPr="00AD151D">
        <w:rPr>
          <w:rFonts w:ascii="Times New Roman" w:hAnsi="Times New Roman"/>
          <w:sz w:val="24"/>
          <w:szCs w:val="24"/>
        </w:rPr>
        <w:t xml:space="preserve"> percent for all Local Areas, and from </w:t>
      </w:r>
      <w:r w:rsidR="001B7740">
        <w:rPr>
          <w:rFonts w:ascii="Times New Roman" w:hAnsi="Times New Roman"/>
          <w:sz w:val="24"/>
          <w:szCs w:val="24"/>
        </w:rPr>
        <w:t>2</w:t>
      </w:r>
      <w:r w:rsidRPr="00AD151D">
        <w:rPr>
          <w:rFonts w:ascii="Times New Roman" w:hAnsi="Times New Roman"/>
          <w:sz w:val="24"/>
          <w:szCs w:val="24"/>
        </w:rPr>
        <w:t xml:space="preserve"> to </w:t>
      </w:r>
      <w:r w:rsidR="001B7740">
        <w:rPr>
          <w:rFonts w:ascii="Times New Roman" w:hAnsi="Times New Roman"/>
          <w:sz w:val="24"/>
          <w:szCs w:val="24"/>
        </w:rPr>
        <w:t>30</w:t>
      </w:r>
      <w:r w:rsidR="001B7740" w:rsidRPr="00AD151D">
        <w:rPr>
          <w:rFonts w:ascii="Times New Roman" w:hAnsi="Times New Roman"/>
          <w:sz w:val="24"/>
          <w:szCs w:val="24"/>
        </w:rPr>
        <w:t xml:space="preserve"> </w:t>
      </w:r>
      <w:r w:rsidRPr="00AD151D">
        <w:rPr>
          <w:rFonts w:ascii="Times New Roman" w:hAnsi="Times New Roman"/>
          <w:sz w:val="24"/>
          <w:szCs w:val="24"/>
        </w:rPr>
        <w:t xml:space="preserve">percent in individual Local Areas.  </w:t>
      </w:r>
    </w:p>
    <w:p w:rsidR="00AE7D50" w:rsidRPr="00AD151D" w:rsidRDefault="00AE7D50">
      <w:pPr>
        <w:pStyle w:val="Caption"/>
        <w:keepNext/>
        <w:keepLines/>
        <w:spacing w:before="120"/>
        <w:rPr>
          <w:bCs w:val="0"/>
          <w:sz w:val="22"/>
        </w:rPr>
      </w:pPr>
      <w:bookmarkStart w:id="54" w:name="_Ref225160729"/>
      <w:bookmarkStart w:id="55" w:name="_Toc347827075"/>
      <w:r w:rsidRPr="00AD151D">
        <w:t xml:space="preserve">Table </w:t>
      </w:r>
      <w:r w:rsidR="00B3535E">
        <w:fldChar w:fldCharType="begin"/>
      </w:r>
      <w:r w:rsidR="00B3535E">
        <w:instrText xml:space="preserve"> SEQ Table \* ARABIC </w:instrText>
      </w:r>
      <w:r w:rsidR="00B3535E">
        <w:fldChar w:fldCharType="separate"/>
      </w:r>
      <w:r w:rsidR="00B3535E">
        <w:rPr>
          <w:noProof/>
        </w:rPr>
        <w:t>5</w:t>
      </w:r>
      <w:r w:rsidR="00B3535E">
        <w:rPr>
          <w:noProof/>
        </w:rPr>
        <w:fldChar w:fldCharType="end"/>
      </w:r>
      <w:bookmarkEnd w:id="54"/>
      <w:r w:rsidRPr="00AD151D">
        <w:t>. Local RA procurement in 2011 – CPUC jurisdictional LSEs</w:t>
      </w:r>
      <w:bookmarkEnd w:id="55"/>
    </w:p>
    <w:tbl>
      <w:tblPr>
        <w:tblW w:w="8494" w:type="dxa"/>
        <w:tblInd w:w="98" w:type="dxa"/>
        <w:tblLayout w:type="fixed"/>
        <w:tblLook w:val="0000" w:firstRow="0" w:lastRow="0" w:firstColumn="0" w:lastColumn="0" w:noHBand="0" w:noVBand="0"/>
      </w:tblPr>
      <w:tblGrid>
        <w:gridCol w:w="1908"/>
        <w:gridCol w:w="982"/>
        <w:gridCol w:w="1121"/>
        <w:gridCol w:w="1579"/>
        <w:gridCol w:w="1080"/>
        <w:gridCol w:w="1824"/>
      </w:tblGrid>
      <w:tr w:rsidR="00AE7D50" w:rsidRPr="00AD151D" w:rsidTr="00E76442">
        <w:trPr>
          <w:trHeight w:val="385"/>
        </w:trPr>
        <w:tc>
          <w:tcPr>
            <w:tcW w:w="1908" w:type="dxa"/>
            <w:tcBorders>
              <w:top w:val="single" w:sz="8" w:space="0" w:color="auto"/>
              <w:left w:val="single" w:sz="8" w:space="0" w:color="auto"/>
              <w:bottom w:val="single" w:sz="8" w:space="0" w:color="auto"/>
              <w:right w:val="single" w:sz="8" w:space="0" w:color="auto"/>
            </w:tcBorders>
          </w:tcPr>
          <w:p w:rsidR="00AE7D50" w:rsidRPr="00AD151D" w:rsidRDefault="00AE7D50">
            <w:pPr>
              <w:rPr>
                <w:b/>
                <w:bCs/>
                <w:color w:val="000000"/>
                <w:sz w:val="16"/>
                <w:szCs w:val="16"/>
              </w:rPr>
            </w:pPr>
            <w:r w:rsidRPr="00AD151D">
              <w:rPr>
                <w:b/>
                <w:bCs/>
                <w:color w:val="000000"/>
                <w:sz w:val="16"/>
                <w:szCs w:val="16"/>
              </w:rPr>
              <w:t>Local Areas in 2011</w:t>
            </w:r>
          </w:p>
        </w:tc>
        <w:tc>
          <w:tcPr>
            <w:tcW w:w="982" w:type="dxa"/>
            <w:tcBorders>
              <w:top w:val="single" w:sz="8" w:space="0" w:color="auto"/>
              <w:left w:val="nil"/>
              <w:bottom w:val="single" w:sz="8" w:space="0" w:color="auto"/>
              <w:right w:val="single" w:sz="8" w:space="0" w:color="auto"/>
            </w:tcBorders>
          </w:tcPr>
          <w:p w:rsidR="00AE7D50" w:rsidRPr="00AD151D" w:rsidRDefault="00AE7D50">
            <w:pPr>
              <w:jc w:val="center"/>
              <w:rPr>
                <w:b/>
                <w:bCs/>
                <w:color w:val="000000"/>
                <w:sz w:val="16"/>
                <w:szCs w:val="16"/>
              </w:rPr>
            </w:pPr>
            <w:r w:rsidRPr="00AD151D">
              <w:rPr>
                <w:b/>
                <w:bCs/>
                <w:color w:val="000000"/>
                <w:sz w:val="16"/>
                <w:szCs w:val="16"/>
              </w:rPr>
              <w:t>Total LCR</w:t>
            </w:r>
          </w:p>
        </w:tc>
        <w:tc>
          <w:tcPr>
            <w:tcW w:w="1121" w:type="dxa"/>
            <w:tcBorders>
              <w:top w:val="single" w:sz="8" w:space="0" w:color="auto"/>
              <w:left w:val="nil"/>
              <w:bottom w:val="single" w:sz="8" w:space="0" w:color="auto"/>
              <w:right w:val="single" w:sz="8" w:space="0" w:color="auto"/>
            </w:tcBorders>
          </w:tcPr>
          <w:p w:rsidR="00AE7D50" w:rsidRPr="00AD151D" w:rsidRDefault="00AE7D50">
            <w:pPr>
              <w:jc w:val="center"/>
              <w:rPr>
                <w:b/>
                <w:bCs/>
                <w:color w:val="000000"/>
                <w:sz w:val="16"/>
                <w:szCs w:val="16"/>
              </w:rPr>
            </w:pPr>
            <w:r w:rsidRPr="00AD151D">
              <w:rPr>
                <w:b/>
                <w:bCs/>
                <w:color w:val="000000"/>
                <w:sz w:val="16"/>
                <w:szCs w:val="16"/>
              </w:rPr>
              <w:t xml:space="preserve">CPUC </w:t>
            </w:r>
            <w:r w:rsidR="00CF56EC">
              <w:rPr>
                <w:b/>
                <w:bCs/>
                <w:color w:val="000000"/>
                <w:sz w:val="16"/>
                <w:szCs w:val="16"/>
              </w:rPr>
              <w:t>J</w:t>
            </w:r>
            <w:r w:rsidR="00CF56EC" w:rsidRPr="00AD151D">
              <w:rPr>
                <w:b/>
                <w:bCs/>
                <w:color w:val="000000"/>
                <w:sz w:val="16"/>
                <w:szCs w:val="16"/>
              </w:rPr>
              <w:t>uris</w:t>
            </w:r>
            <w:r w:rsidRPr="00AD151D">
              <w:rPr>
                <w:b/>
                <w:bCs/>
                <w:color w:val="000000"/>
                <w:sz w:val="16"/>
                <w:szCs w:val="16"/>
              </w:rPr>
              <w:t xml:space="preserve"> Local RAR</w:t>
            </w:r>
          </w:p>
        </w:tc>
        <w:tc>
          <w:tcPr>
            <w:tcW w:w="1579" w:type="dxa"/>
            <w:tcBorders>
              <w:top w:val="single" w:sz="8" w:space="0" w:color="auto"/>
              <w:left w:val="nil"/>
              <w:bottom w:val="single" w:sz="8" w:space="0" w:color="auto"/>
              <w:right w:val="single" w:sz="8" w:space="0" w:color="auto"/>
            </w:tcBorders>
          </w:tcPr>
          <w:p w:rsidR="00AE7D50" w:rsidRPr="00AD151D" w:rsidRDefault="00AE7D50" w:rsidP="00E76442">
            <w:pPr>
              <w:jc w:val="center"/>
              <w:rPr>
                <w:b/>
                <w:bCs/>
                <w:color w:val="000000"/>
                <w:sz w:val="16"/>
                <w:szCs w:val="16"/>
              </w:rPr>
            </w:pPr>
            <w:r w:rsidRPr="00AD151D">
              <w:rPr>
                <w:b/>
                <w:bCs/>
                <w:color w:val="000000"/>
                <w:sz w:val="16"/>
                <w:szCs w:val="16"/>
              </w:rPr>
              <w:t>Minimum Physical Resources per Month</w:t>
            </w:r>
          </w:p>
        </w:tc>
        <w:tc>
          <w:tcPr>
            <w:tcW w:w="1080" w:type="dxa"/>
            <w:tcBorders>
              <w:top w:val="single" w:sz="8" w:space="0" w:color="auto"/>
              <w:left w:val="nil"/>
              <w:bottom w:val="single" w:sz="8" w:space="0" w:color="auto"/>
              <w:right w:val="single" w:sz="8" w:space="0" w:color="auto"/>
            </w:tcBorders>
          </w:tcPr>
          <w:p w:rsidR="00AE7D50" w:rsidRPr="00AD151D" w:rsidRDefault="00AE7D50" w:rsidP="00C85210">
            <w:pPr>
              <w:jc w:val="center"/>
              <w:rPr>
                <w:b/>
                <w:bCs/>
                <w:color w:val="000000"/>
                <w:sz w:val="16"/>
                <w:szCs w:val="16"/>
              </w:rPr>
            </w:pPr>
            <w:r w:rsidRPr="00AD151D">
              <w:rPr>
                <w:b/>
                <w:bCs/>
                <w:color w:val="000000"/>
                <w:sz w:val="16"/>
                <w:szCs w:val="16"/>
              </w:rPr>
              <w:t xml:space="preserve">Local </w:t>
            </w:r>
            <w:r w:rsidR="00C85210">
              <w:rPr>
                <w:b/>
                <w:bCs/>
                <w:color w:val="000000"/>
                <w:sz w:val="16"/>
                <w:szCs w:val="16"/>
              </w:rPr>
              <w:t>CAM/</w:t>
            </w:r>
            <w:r w:rsidRPr="00AD151D">
              <w:rPr>
                <w:b/>
                <w:bCs/>
                <w:color w:val="000000"/>
                <w:sz w:val="16"/>
                <w:szCs w:val="16"/>
              </w:rPr>
              <w:t>RMR/DR credit</w:t>
            </w:r>
          </w:p>
        </w:tc>
        <w:tc>
          <w:tcPr>
            <w:tcW w:w="1824" w:type="dxa"/>
            <w:tcBorders>
              <w:top w:val="single" w:sz="8" w:space="0" w:color="auto"/>
              <w:left w:val="nil"/>
              <w:bottom w:val="single" w:sz="8" w:space="0" w:color="auto"/>
              <w:right w:val="single" w:sz="8" w:space="0" w:color="auto"/>
            </w:tcBorders>
          </w:tcPr>
          <w:p w:rsidR="00AE7D50" w:rsidRPr="00AD151D" w:rsidRDefault="00AE7D50">
            <w:pPr>
              <w:jc w:val="center"/>
              <w:rPr>
                <w:b/>
                <w:bCs/>
                <w:color w:val="000000"/>
                <w:sz w:val="16"/>
                <w:szCs w:val="16"/>
              </w:rPr>
            </w:pPr>
            <w:r w:rsidRPr="00AD151D">
              <w:rPr>
                <w:b/>
                <w:bCs/>
                <w:color w:val="000000"/>
                <w:sz w:val="16"/>
                <w:szCs w:val="16"/>
              </w:rPr>
              <w:t>Minimum procurement as percent of Local RAR</w:t>
            </w:r>
          </w:p>
        </w:tc>
      </w:tr>
      <w:tr w:rsidR="001B7740" w:rsidRPr="00AD151D" w:rsidTr="00E76442">
        <w:trPr>
          <w:trHeight w:val="173"/>
        </w:trPr>
        <w:tc>
          <w:tcPr>
            <w:tcW w:w="1908" w:type="dxa"/>
            <w:tcBorders>
              <w:top w:val="single" w:sz="4" w:space="0" w:color="auto"/>
              <w:left w:val="single" w:sz="4" w:space="0" w:color="auto"/>
              <w:bottom w:val="single" w:sz="4" w:space="0" w:color="auto"/>
              <w:right w:val="single" w:sz="4" w:space="0" w:color="auto"/>
            </w:tcBorders>
            <w:noWrap/>
            <w:vAlign w:val="bottom"/>
          </w:tcPr>
          <w:p w:rsidR="001B7740" w:rsidRPr="00AD151D" w:rsidRDefault="001B7740">
            <w:pPr>
              <w:rPr>
                <w:b/>
                <w:bCs/>
                <w:sz w:val="16"/>
                <w:szCs w:val="16"/>
              </w:rPr>
            </w:pPr>
          </w:p>
        </w:tc>
        <w:tc>
          <w:tcPr>
            <w:tcW w:w="982" w:type="dxa"/>
            <w:tcBorders>
              <w:top w:val="single" w:sz="4" w:space="0" w:color="auto"/>
              <w:left w:val="nil"/>
              <w:bottom w:val="single" w:sz="4" w:space="0" w:color="auto"/>
              <w:right w:val="single" w:sz="4" w:space="0" w:color="auto"/>
            </w:tcBorders>
            <w:noWrap/>
            <w:vAlign w:val="bottom"/>
          </w:tcPr>
          <w:p w:rsidR="001B7740" w:rsidRPr="00AD151D" w:rsidRDefault="001B7740" w:rsidP="000D7850">
            <w:pPr>
              <w:jc w:val="center"/>
              <w:rPr>
                <w:sz w:val="16"/>
                <w:szCs w:val="16"/>
              </w:rPr>
            </w:pPr>
            <w:r>
              <w:rPr>
                <w:sz w:val="16"/>
                <w:szCs w:val="16"/>
              </w:rPr>
              <w:t>A</w:t>
            </w:r>
          </w:p>
        </w:tc>
        <w:tc>
          <w:tcPr>
            <w:tcW w:w="1121" w:type="dxa"/>
            <w:tcBorders>
              <w:top w:val="single" w:sz="4" w:space="0" w:color="auto"/>
              <w:left w:val="nil"/>
              <w:bottom w:val="single" w:sz="4" w:space="0" w:color="auto"/>
              <w:right w:val="single" w:sz="4" w:space="0" w:color="auto"/>
            </w:tcBorders>
            <w:noWrap/>
            <w:vAlign w:val="bottom"/>
          </w:tcPr>
          <w:p w:rsidR="001B7740" w:rsidRPr="00AD151D" w:rsidRDefault="001B7740" w:rsidP="000D7850">
            <w:pPr>
              <w:jc w:val="center"/>
              <w:rPr>
                <w:sz w:val="16"/>
                <w:szCs w:val="16"/>
              </w:rPr>
            </w:pPr>
            <w:r>
              <w:rPr>
                <w:sz w:val="16"/>
                <w:szCs w:val="16"/>
              </w:rPr>
              <w:t>B</w:t>
            </w:r>
          </w:p>
        </w:tc>
        <w:tc>
          <w:tcPr>
            <w:tcW w:w="1579" w:type="dxa"/>
            <w:tcBorders>
              <w:top w:val="single" w:sz="4" w:space="0" w:color="auto"/>
              <w:left w:val="nil"/>
              <w:bottom w:val="single" w:sz="4" w:space="0" w:color="auto"/>
              <w:right w:val="single" w:sz="4" w:space="0" w:color="auto"/>
            </w:tcBorders>
            <w:noWrap/>
            <w:vAlign w:val="center"/>
          </w:tcPr>
          <w:p w:rsidR="001B7740" w:rsidRPr="00AD151D" w:rsidRDefault="001B7740" w:rsidP="000D7850">
            <w:pPr>
              <w:jc w:val="center"/>
              <w:rPr>
                <w:sz w:val="16"/>
                <w:szCs w:val="16"/>
              </w:rPr>
            </w:pPr>
            <w:r>
              <w:rPr>
                <w:sz w:val="16"/>
                <w:szCs w:val="16"/>
              </w:rPr>
              <w:t>C</w:t>
            </w:r>
          </w:p>
        </w:tc>
        <w:tc>
          <w:tcPr>
            <w:tcW w:w="1080" w:type="dxa"/>
            <w:tcBorders>
              <w:top w:val="single" w:sz="4" w:space="0" w:color="auto"/>
              <w:left w:val="nil"/>
              <w:bottom w:val="single" w:sz="4" w:space="0" w:color="auto"/>
              <w:right w:val="single" w:sz="4" w:space="0" w:color="auto"/>
            </w:tcBorders>
            <w:noWrap/>
            <w:vAlign w:val="center"/>
          </w:tcPr>
          <w:p w:rsidR="001B7740" w:rsidRPr="00AD151D" w:rsidRDefault="001B7740" w:rsidP="000D7850">
            <w:pPr>
              <w:jc w:val="center"/>
              <w:rPr>
                <w:sz w:val="16"/>
                <w:szCs w:val="16"/>
              </w:rPr>
            </w:pPr>
            <w:r>
              <w:rPr>
                <w:sz w:val="16"/>
                <w:szCs w:val="16"/>
              </w:rPr>
              <w:t>D</w:t>
            </w:r>
          </w:p>
        </w:tc>
        <w:tc>
          <w:tcPr>
            <w:tcW w:w="1824" w:type="dxa"/>
            <w:tcBorders>
              <w:top w:val="single" w:sz="4" w:space="0" w:color="auto"/>
              <w:left w:val="nil"/>
              <w:bottom w:val="single" w:sz="4" w:space="0" w:color="auto"/>
              <w:right w:val="single" w:sz="4" w:space="0" w:color="auto"/>
            </w:tcBorders>
            <w:noWrap/>
            <w:vAlign w:val="bottom"/>
          </w:tcPr>
          <w:p w:rsidR="001B7740" w:rsidRPr="00AD151D" w:rsidRDefault="001B7740" w:rsidP="000D7850">
            <w:pPr>
              <w:jc w:val="center"/>
              <w:rPr>
                <w:sz w:val="16"/>
                <w:szCs w:val="16"/>
              </w:rPr>
            </w:pPr>
            <w:r>
              <w:rPr>
                <w:sz w:val="16"/>
                <w:szCs w:val="16"/>
              </w:rPr>
              <w:t>(C+D)/B</w:t>
            </w:r>
          </w:p>
        </w:tc>
      </w:tr>
      <w:tr w:rsidR="00AE7D50" w:rsidRPr="00AD151D" w:rsidTr="00E76442">
        <w:trPr>
          <w:trHeight w:val="173"/>
        </w:trPr>
        <w:tc>
          <w:tcPr>
            <w:tcW w:w="1908" w:type="dxa"/>
            <w:tcBorders>
              <w:top w:val="single" w:sz="4" w:space="0" w:color="auto"/>
              <w:left w:val="single" w:sz="4" w:space="0" w:color="auto"/>
              <w:bottom w:val="single" w:sz="4" w:space="0" w:color="auto"/>
              <w:right w:val="single" w:sz="4" w:space="0" w:color="auto"/>
            </w:tcBorders>
            <w:noWrap/>
            <w:vAlign w:val="bottom"/>
          </w:tcPr>
          <w:p w:rsidR="00AE7D50" w:rsidRPr="00AD151D" w:rsidRDefault="00AE7D50">
            <w:pPr>
              <w:rPr>
                <w:b/>
                <w:bCs/>
                <w:sz w:val="16"/>
                <w:szCs w:val="16"/>
              </w:rPr>
            </w:pPr>
            <w:r w:rsidRPr="00AD151D">
              <w:rPr>
                <w:b/>
                <w:bCs/>
                <w:sz w:val="16"/>
                <w:szCs w:val="16"/>
              </w:rPr>
              <w:t>LA Basin</w:t>
            </w:r>
          </w:p>
        </w:tc>
        <w:tc>
          <w:tcPr>
            <w:tcW w:w="982" w:type="dxa"/>
            <w:tcBorders>
              <w:top w:val="single" w:sz="4" w:space="0" w:color="auto"/>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10,589</w:t>
            </w:r>
          </w:p>
        </w:tc>
        <w:tc>
          <w:tcPr>
            <w:tcW w:w="1121" w:type="dxa"/>
            <w:tcBorders>
              <w:top w:val="single" w:sz="4" w:space="0" w:color="auto"/>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9,493</w:t>
            </w:r>
          </w:p>
        </w:tc>
        <w:tc>
          <w:tcPr>
            <w:tcW w:w="1579" w:type="dxa"/>
            <w:tcBorders>
              <w:top w:val="single" w:sz="4" w:space="0" w:color="auto"/>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8,473</w:t>
            </w:r>
          </w:p>
        </w:tc>
        <w:tc>
          <w:tcPr>
            <w:tcW w:w="1080" w:type="dxa"/>
            <w:tcBorders>
              <w:top w:val="single" w:sz="4" w:space="0" w:color="auto"/>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1,688</w:t>
            </w:r>
          </w:p>
        </w:tc>
        <w:tc>
          <w:tcPr>
            <w:tcW w:w="1824" w:type="dxa"/>
            <w:tcBorders>
              <w:top w:val="single" w:sz="4" w:space="0" w:color="auto"/>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107%</w:t>
            </w:r>
          </w:p>
        </w:tc>
      </w:tr>
      <w:tr w:rsidR="00AE7D50" w:rsidRPr="00AD151D" w:rsidTr="00E76442">
        <w:trPr>
          <w:trHeight w:val="173"/>
        </w:trPr>
        <w:tc>
          <w:tcPr>
            <w:tcW w:w="1908" w:type="dxa"/>
            <w:tcBorders>
              <w:top w:val="nil"/>
              <w:left w:val="single" w:sz="4" w:space="0" w:color="auto"/>
              <w:bottom w:val="single" w:sz="4" w:space="0" w:color="auto"/>
              <w:right w:val="single" w:sz="4" w:space="0" w:color="auto"/>
            </w:tcBorders>
            <w:noWrap/>
            <w:vAlign w:val="bottom"/>
          </w:tcPr>
          <w:p w:rsidR="00AE7D50" w:rsidRPr="00AD151D" w:rsidRDefault="00AE7D50">
            <w:pPr>
              <w:rPr>
                <w:b/>
                <w:bCs/>
                <w:sz w:val="16"/>
                <w:szCs w:val="16"/>
              </w:rPr>
            </w:pPr>
            <w:r w:rsidRPr="00AD151D">
              <w:rPr>
                <w:b/>
                <w:bCs/>
                <w:sz w:val="16"/>
                <w:szCs w:val="16"/>
              </w:rPr>
              <w:t>Big Creek/Ventura</w:t>
            </w:r>
          </w:p>
        </w:tc>
        <w:tc>
          <w:tcPr>
            <w:tcW w:w="982"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2,786</w:t>
            </w:r>
          </w:p>
        </w:tc>
        <w:tc>
          <w:tcPr>
            <w:tcW w:w="1121"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2,498</w:t>
            </w:r>
          </w:p>
        </w:tc>
        <w:tc>
          <w:tcPr>
            <w:tcW w:w="1579" w:type="dxa"/>
            <w:tcBorders>
              <w:top w:val="nil"/>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2,316</w:t>
            </w:r>
          </w:p>
        </w:tc>
        <w:tc>
          <w:tcPr>
            <w:tcW w:w="1080" w:type="dxa"/>
            <w:tcBorders>
              <w:top w:val="nil"/>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243</w:t>
            </w:r>
          </w:p>
        </w:tc>
        <w:tc>
          <w:tcPr>
            <w:tcW w:w="1824"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102%</w:t>
            </w:r>
          </w:p>
        </w:tc>
      </w:tr>
      <w:tr w:rsidR="00AE7D50" w:rsidRPr="00AD151D" w:rsidTr="00E76442">
        <w:trPr>
          <w:trHeight w:val="173"/>
        </w:trPr>
        <w:tc>
          <w:tcPr>
            <w:tcW w:w="1908" w:type="dxa"/>
            <w:tcBorders>
              <w:top w:val="nil"/>
              <w:left w:val="single" w:sz="4" w:space="0" w:color="auto"/>
              <w:bottom w:val="single" w:sz="4" w:space="0" w:color="auto"/>
              <w:right w:val="single" w:sz="4" w:space="0" w:color="auto"/>
            </w:tcBorders>
            <w:noWrap/>
            <w:vAlign w:val="bottom"/>
          </w:tcPr>
          <w:p w:rsidR="00AE7D50" w:rsidRPr="00AD151D" w:rsidRDefault="00AE7D50">
            <w:pPr>
              <w:rPr>
                <w:b/>
                <w:bCs/>
                <w:sz w:val="16"/>
                <w:szCs w:val="16"/>
              </w:rPr>
            </w:pPr>
            <w:r w:rsidRPr="00AD151D">
              <w:rPr>
                <w:b/>
                <w:bCs/>
                <w:sz w:val="16"/>
                <w:szCs w:val="16"/>
              </w:rPr>
              <w:t>San Diego</w:t>
            </w:r>
          </w:p>
        </w:tc>
        <w:tc>
          <w:tcPr>
            <w:tcW w:w="982"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3,146</w:t>
            </w:r>
          </w:p>
        </w:tc>
        <w:tc>
          <w:tcPr>
            <w:tcW w:w="1121"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3,146</w:t>
            </w:r>
          </w:p>
        </w:tc>
        <w:tc>
          <w:tcPr>
            <w:tcW w:w="1579" w:type="dxa"/>
            <w:tcBorders>
              <w:top w:val="nil"/>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3,037</w:t>
            </w:r>
          </w:p>
        </w:tc>
        <w:tc>
          <w:tcPr>
            <w:tcW w:w="1080" w:type="dxa"/>
            <w:tcBorders>
              <w:top w:val="nil"/>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210</w:t>
            </w:r>
          </w:p>
        </w:tc>
        <w:tc>
          <w:tcPr>
            <w:tcW w:w="1824"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103%</w:t>
            </w:r>
          </w:p>
        </w:tc>
      </w:tr>
      <w:tr w:rsidR="00AE7D50" w:rsidRPr="00AD151D" w:rsidTr="00E76442">
        <w:trPr>
          <w:trHeight w:val="173"/>
        </w:trPr>
        <w:tc>
          <w:tcPr>
            <w:tcW w:w="1908" w:type="dxa"/>
            <w:tcBorders>
              <w:top w:val="nil"/>
              <w:left w:val="single" w:sz="4" w:space="0" w:color="auto"/>
              <w:bottom w:val="single" w:sz="4" w:space="0" w:color="auto"/>
              <w:right w:val="single" w:sz="4" w:space="0" w:color="auto"/>
            </w:tcBorders>
            <w:noWrap/>
            <w:vAlign w:val="bottom"/>
          </w:tcPr>
          <w:p w:rsidR="00AE7D50" w:rsidRPr="00AD151D" w:rsidRDefault="00AE7D50">
            <w:pPr>
              <w:rPr>
                <w:b/>
                <w:bCs/>
                <w:sz w:val="16"/>
                <w:szCs w:val="16"/>
              </w:rPr>
            </w:pPr>
            <w:r w:rsidRPr="00AD151D">
              <w:rPr>
                <w:b/>
                <w:bCs/>
                <w:sz w:val="16"/>
                <w:szCs w:val="16"/>
              </w:rPr>
              <w:t>Greater Bay Area</w:t>
            </w:r>
          </w:p>
        </w:tc>
        <w:tc>
          <w:tcPr>
            <w:tcW w:w="982"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4,804</w:t>
            </w:r>
          </w:p>
        </w:tc>
        <w:tc>
          <w:tcPr>
            <w:tcW w:w="1121"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4,437</w:t>
            </w:r>
          </w:p>
        </w:tc>
        <w:tc>
          <w:tcPr>
            <w:tcW w:w="1579" w:type="dxa"/>
            <w:tcBorders>
              <w:top w:val="nil"/>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5,391</w:t>
            </w:r>
          </w:p>
        </w:tc>
        <w:tc>
          <w:tcPr>
            <w:tcW w:w="1080" w:type="dxa"/>
            <w:tcBorders>
              <w:top w:val="nil"/>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357</w:t>
            </w:r>
          </w:p>
        </w:tc>
        <w:tc>
          <w:tcPr>
            <w:tcW w:w="1824"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130%</w:t>
            </w:r>
          </w:p>
        </w:tc>
      </w:tr>
      <w:tr w:rsidR="00AE7D50" w:rsidRPr="00AD151D" w:rsidTr="00E76442">
        <w:trPr>
          <w:trHeight w:val="173"/>
        </w:trPr>
        <w:tc>
          <w:tcPr>
            <w:tcW w:w="1908" w:type="dxa"/>
            <w:tcBorders>
              <w:top w:val="nil"/>
              <w:left w:val="single" w:sz="4" w:space="0" w:color="auto"/>
              <w:bottom w:val="single" w:sz="4" w:space="0" w:color="auto"/>
              <w:right w:val="single" w:sz="4" w:space="0" w:color="auto"/>
            </w:tcBorders>
            <w:noWrap/>
            <w:vAlign w:val="bottom"/>
          </w:tcPr>
          <w:p w:rsidR="00AE7D50" w:rsidRPr="00AD151D" w:rsidRDefault="00AE7D50">
            <w:pPr>
              <w:rPr>
                <w:b/>
                <w:bCs/>
                <w:sz w:val="16"/>
                <w:szCs w:val="16"/>
              </w:rPr>
            </w:pPr>
            <w:r w:rsidRPr="00AD151D">
              <w:rPr>
                <w:b/>
                <w:bCs/>
                <w:sz w:val="16"/>
                <w:szCs w:val="16"/>
              </w:rPr>
              <w:t>Other PG&amp;E Areas</w:t>
            </w:r>
          </w:p>
        </w:tc>
        <w:tc>
          <w:tcPr>
            <w:tcW w:w="982"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5,769</w:t>
            </w:r>
          </w:p>
        </w:tc>
        <w:tc>
          <w:tcPr>
            <w:tcW w:w="1121"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5,328</w:t>
            </w:r>
          </w:p>
        </w:tc>
        <w:tc>
          <w:tcPr>
            <w:tcW w:w="1579" w:type="dxa"/>
            <w:tcBorders>
              <w:top w:val="nil"/>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5,354</w:t>
            </w:r>
          </w:p>
        </w:tc>
        <w:tc>
          <w:tcPr>
            <w:tcW w:w="1080" w:type="dxa"/>
            <w:tcBorders>
              <w:top w:val="nil"/>
              <w:left w:val="nil"/>
              <w:bottom w:val="single" w:sz="4" w:space="0" w:color="auto"/>
              <w:right w:val="single" w:sz="4" w:space="0" w:color="auto"/>
            </w:tcBorders>
            <w:noWrap/>
            <w:vAlign w:val="center"/>
          </w:tcPr>
          <w:p w:rsidR="00AE7D50" w:rsidRPr="00AD151D" w:rsidRDefault="00AE7D50" w:rsidP="000D7850">
            <w:pPr>
              <w:jc w:val="center"/>
              <w:rPr>
                <w:sz w:val="16"/>
                <w:szCs w:val="16"/>
              </w:rPr>
            </w:pPr>
            <w:r w:rsidRPr="00AD151D">
              <w:rPr>
                <w:sz w:val="16"/>
                <w:szCs w:val="16"/>
              </w:rPr>
              <w:t>278</w:t>
            </w:r>
          </w:p>
        </w:tc>
        <w:tc>
          <w:tcPr>
            <w:tcW w:w="1824" w:type="dxa"/>
            <w:tcBorders>
              <w:top w:val="nil"/>
              <w:left w:val="nil"/>
              <w:bottom w:val="single" w:sz="4" w:space="0" w:color="auto"/>
              <w:right w:val="single" w:sz="4" w:space="0" w:color="auto"/>
            </w:tcBorders>
            <w:noWrap/>
            <w:vAlign w:val="bottom"/>
          </w:tcPr>
          <w:p w:rsidR="00AE7D50" w:rsidRPr="00AD151D" w:rsidRDefault="00AE7D50" w:rsidP="000D7850">
            <w:pPr>
              <w:jc w:val="center"/>
              <w:rPr>
                <w:sz w:val="16"/>
                <w:szCs w:val="16"/>
              </w:rPr>
            </w:pPr>
            <w:r w:rsidRPr="00AD151D">
              <w:rPr>
                <w:sz w:val="16"/>
                <w:szCs w:val="16"/>
              </w:rPr>
              <w:t>106%</w:t>
            </w:r>
          </w:p>
        </w:tc>
      </w:tr>
      <w:tr w:rsidR="00AE7D50" w:rsidRPr="00AD151D" w:rsidTr="00E76442">
        <w:trPr>
          <w:trHeight w:val="173"/>
        </w:trPr>
        <w:tc>
          <w:tcPr>
            <w:tcW w:w="1908" w:type="dxa"/>
            <w:tcBorders>
              <w:top w:val="nil"/>
              <w:left w:val="single" w:sz="4" w:space="0" w:color="auto"/>
              <w:bottom w:val="single" w:sz="4" w:space="0" w:color="auto"/>
              <w:right w:val="single" w:sz="4" w:space="0" w:color="auto"/>
            </w:tcBorders>
            <w:noWrap/>
            <w:vAlign w:val="bottom"/>
          </w:tcPr>
          <w:p w:rsidR="00AE7D50" w:rsidRPr="00AD151D" w:rsidRDefault="00AE7D50">
            <w:pPr>
              <w:rPr>
                <w:b/>
                <w:bCs/>
                <w:sz w:val="16"/>
                <w:szCs w:val="16"/>
              </w:rPr>
            </w:pPr>
            <w:r w:rsidRPr="00AD151D">
              <w:rPr>
                <w:b/>
                <w:bCs/>
                <w:sz w:val="16"/>
                <w:szCs w:val="16"/>
              </w:rPr>
              <w:t>Totals</w:t>
            </w:r>
          </w:p>
        </w:tc>
        <w:tc>
          <w:tcPr>
            <w:tcW w:w="982" w:type="dxa"/>
            <w:tcBorders>
              <w:top w:val="nil"/>
              <w:left w:val="nil"/>
              <w:bottom w:val="single" w:sz="4" w:space="0" w:color="auto"/>
              <w:right w:val="single" w:sz="4" w:space="0" w:color="auto"/>
            </w:tcBorders>
            <w:noWrap/>
            <w:vAlign w:val="center"/>
          </w:tcPr>
          <w:p w:rsidR="00AE7D50" w:rsidRPr="006C5D7A" w:rsidRDefault="00AE7D50" w:rsidP="000D7850">
            <w:pPr>
              <w:jc w:val="center"/>
              <w:rPr>
                <w:b/>
                <w:sz w:val="16"/>
                <w:szCs w:val="16"/>
              </w:rPr>
            </w:pPr>
            <w:r w:rsidRPr="006C5D7A">
              <w:rPr>
                <w:b/>
                <w:sz w:val="16"/>
                <w:szCs w:val="16"/>
              </w:rPr>
              <w:t>27,094</w:t>
            </w:r>
          </w:p>
        </w:tc>
        <w:tc>
          <w:tcPr>
            <w:tcW w:w="1121" w:type="dxa"/>
            <w:tcBorders>
              <w:top w:val="nil"/>
              <w:left w:val="nil"/>
              <w:bottom w:val="single" w:sz="4" w:space="0" w:color="auto"/>
              <w:right w:val="single" w:sz="4" w:space="0" w:color="auto"/>
            </w:tcBorders>
            <w:noWrap/>
            <w:vAlign w:val="center"/>
          </w:tcPr>
          <w:p w:rsidR="00AE7D50" w:rsidRPr="006C5D7A" w:rsidRDefault="00AE7D50" w:rsidP="000D7850">
            <w:pPr>
              <w:jc w:val="center"/>
              <w:rPr>
                <w:b/>
                <w:sz w:val="16"/>
                <w:szCs w:val="16"/>
              </w:rPr>
            </w:pPr>
            <w:r w:rsidRPr="006C5D7A">
              <w:rPr>
                <w:b/>
                <w:sz w:val="16"/>
                <w:szCs w:val="16"/>
              </w:rPr>
              <w:t>24,902</w:t>
            </w:r>
          </w:p>
        </w:tc>
        <w:tc>
          <w:tcPr>
            <w:tcW w:w="1579" w:type="dxa"/>
            <w:tcBorders>
              <w:top w:val="nil"/>
              <w:left w:val="nil"/>
              <w:bottom w:val="single" w:sz="4" w:space="0" w:color="auto"/>
              <w:right w:val="single" w:sz="4" w:space="0" w:color="auto"/>
            </w:tcBorders>
            <w:noWrap/>
            <w:vAlign w:val="center"/>
          </w:tcPr>
          <w:p w:rsidR="00AE7D50" w:rsidRPr="006C5D7A" w:rsidRDefault="00AE7D50" w:rsidP="000D7850">
            <w:pPr>
              <w:jc w:val="center"/>
              <w:rPr>
                <w:b/>
                <w:sz w:val="16"/>
                <w:szCs w:val="16"/>
              </w:rPr>
            </w:pPr>
            <w:r w:rsidRPr="006C5D7A">
              <w:rPr>
                <w:b/>
                <w:sz w:val="16"/>
                <w:szCs w:val="16"/>
              </w:rPr>
              <w:t>24,571</w:t>
            </w:r>
          </w:p>
        </w:tc>
        <w:tc>
          <w:tcPr>
            <w:tcW w:w="1080" w:type="dxa"/>
            <w:tcBorders>
              <w:top w:val="nil"/>
              <w:left w:val="nil"/>
              <w:bottom w:val="single" w:sz="4" w:space="0" w:color="auto"/>
              <w:right w:val="single" w:sz="4" w:space="0" w:color="auto"/>
            </w:tcBorders>
            <w:noWrap/>
            <w:vAlign w:val="bottom"/>
          </w:tcPr>
          <w:p w:rsidR="00AE7D50" w:rsidRPr="006C5D7A" w:rsidRDefault="00AE7D50" w:rsidP="000D7850">
            <w:pPr>
              <w:jc w:val="center"/>
              <w:rPr>
                <w:b/>
                <w:sz w:val="16"/>
                <w:szCs w:val="16"/>
              </w:rPr>
            </w:pPr>
            <w:r w:rsidRPr="006C5D7A">
              <w:rPr>
                <w:b/>
                <w:sz w:val="16"/>
                <w:szCs w:val="16"/>
              </w:rPr>
              <w:t>2,278</w:t>
            </w:r>
          </w:p>
        </w:tc>
        <w:tc>
          <w:tcPr>
            <w:tcW w:w="1824" w:type="dxa"/>
            <w:tcBorders>
              <w:top w:val="nil"/>
              <w:left w:val="nil"/>
              <w:bottom w:val="single" w:sz="4" w:space="0" w:color="auto"/>
              <w:right w:val="single" w:sz="4" w:space="0" w:color="auto"/>
            </w:tcBorders>
            <w:noWrap/>
            <w:vAlign w:val="bottom"/>
          </w:tcPr>
          <w:p w:rsidR="00AE7D50" w:rsidRPr="006C5D7A" w:rsidRDefault="00AE7D50" w:rsidP="001B7740">
            <w:pPr>
              <w:jc w:val="center"/>
              <w:rPr>
                <w:b/>
                <w:sz w:val="16"/>
                <w:szCs w:val="16"/>
              </w:rPr>
            </w:pPr>
            <w:r w:rsidRPr="006C5D7A">
              <w:rPr>
                <w:b/>
                <w:sz w:val="16"/>
                <w:szCs w:val="16"/>
              </w:rPr>
              <w:t>1</w:t>
            </w:r>
            <w:r w:rsidR="001B7740" w:rsidRPr="006C5D7A">
              <w:rPr>
                <w:b/>
                <w:sz w:val="16"/>
                <w:szCs w:val="16"/>
              </w:rPr>
              <w:t>1</w:t>
            </w:r>
            <w:r w:rsidRPr="006C5D7A">
              <w:rPr>
                <w:b/>
                <w:sz w:val="16"/>
                <w:szCs w:val="16"/>
              </w:rPr>
              <w:t>0%</w:t>
            </w:r>
          </w:p>
        </w:tc>
      </w:tr>
    </w:tbl>
    <w:p w:rsidR="00AE7D50" w:rsidRPr="00AD151D" w:rsidRDefault="00AE7D50">
      <w:pPr>
        <w:pStyle w:val="sub1"/>
        <w:keepNext/>
        <w:keepLines/>
        <w:spacing w:before="120"/>
        <w:ind w:firstLine="0"/>
        <w:rPr>
          <w:rFonts w:ascii="Times New Roman" w:hAnsi="Times New Roman"/>
          <w:sz w:val="18"/>
          <w:szCs w:val="18"/>
        </w:rPr>
      </w:pPr>
      <w:r w:rsidRPr="00AD151D">
        <w:rPr>
          <w:rFonts w:ascii="Times New Roman" w:hAnsi="Times New Roman"/>
          <w:sz w:val="18"/>
          <w:szCs w:val="18"/>
        </w:rPr>
        <w:t>Source: Aggregated 2011 Local RA filings</w:t>
      </w:r>
    </w:p>
    <w:p w:rsidR="00AE7D50" w:rsidRPr="00AD151D" w:rsidRDefault="00AE7D50">
      <w:pPr>
        <w:pStyle w:val="Heading3"/>
        <w:numPr>
          <w:ilvl w:val="2"/>
          <w:numId w:val="18"/>
        </w:numPr>
      </w:pPr>
      <w:bookmarkStart w:id="56" w:name="_Toc347827049"/>
      <w:r w:rsidRPr="00AD151D">
        <w:t>Local RA True-ups</w:t>
      </w:r>
      <w:bookmarkEnd w:id="56"/>
    </w:p>
    <w:p w:rsidR="00AE7D50" w:rsidRDefault="00AE7D50" w:rsidP="00D76C00">
      <w:pPr>
        <w:ind w:firstLine="720"/>
      </w:pPr>
      <w:r w:rsidRPr="00AD151D">
        <w:t xml:space="preserve">Beginning with the 2010 reopening of direct access </w:t>
      </w:r>
      <w:r w:rsidR="001B7740">
        <w:t>t</w:t>
      </w:r>
      <w:r w:rsidRPr="00AD151D">
        <w:t>he Commission adopt</w:t>
      </w:r>
      <w:r w:rsidR="001B7740">
        <w:t>ed</w:t>
      </w:r>
      <w:r w:rsidRPr="00AD151D">
        <w:t xml:space="preserve"> a true up mechanism early in 2010 in the Direct Access decision D.10-03-022 to ensure that all service providers were subject to the same RA treatment.  </w:t>
      </w:r>
    </w:p>
    <w:p w:rsidR="001B7740" w:rsidRPr="00AD151D" w:rsidRDefault="001B7740" w:rsidP="00D76C00">
      <w:pPr>
        <w:ind w:firstLine="720"/>
      </w:pPr>
    </w:p>
    <w:p w:rsidR="001B7740" w:rsidRDefault="00AE7D50" w:rsidP="00D76C00">
      <w:pPr>
        <w:ind w:firstLine="576"/>
      </w:pPr>
      <w:r w:rsidRPr="00AD151D">
        <w:t xml:space="preserve">During 2010 Energy Division and CEC staff </w:t>
      </w:r>
      <w:r w:rsidR="001B7740">
        <w:t>helped</w:t>
      </w:r>
      <w:r w:rsidRPr="00AD151D">
        <w:t xml:space="preserve"> LSEs participate in the Local RA True up process in order to complete the 2010 RA compliance year successfully. Nevertheless, </w:t>
      </w:r>
      <w:r w:rsidRPr="00AD151D">
        <w:rPr>
          <w:rStyle w:val="Strong"/>
          <w:b w:val="0"/>
        </w:rPr>
        <w:t>staff found the Local true-up process time consuming for all parties</w:t>
      </w:r>
      <w:r w:rsidR="001B7740">
        <w:rPr>
          <w:rStyle w:val="Strong"/>
          <w:b w:val="0"/>
        </w:rPr>
        <w:t xml:space="preserve"> resulting in</w:t>
      </w:r>
      <w:r w:rsidR="001B7740">
        <w:t xml:space="preserve"> lessons </w:t>
      </w:r>
      <w:r w:rsidRPr="00AD151D">
        <w:t>learned in 2010 that informed the final adopted process for 2011.</w:t>
      </w:r>
    </w:p>
    <w:p w:rsidR="00AE7D50" w:rsidRPr="00AD151D" w:rsidRDefault="00AE7D50" w:rsidP="00D76C00">
      <w:pPr>
        <w:ind w:firstLine="576"/>
      </w:pPr>
      <w:r w:rsidRPr="00AD151D">
        <w:t xml:space="preserve">  </w:t>
      </w:r>
    </w:p>
    <w:p w:rsidR="00AE7D50" w:rsidRDefault="00AE7D50" w:rsidP="00D76C00">
      <w:pPr>
        <w:ind w:firstLine="576"/>
      </w:pPr>
      <w:r w:rsidRPr="00AD151D">
        <w:t xml:space="preserve">Energy Division worked with LSEs and the ALJ to develop an alternative reallocation approach for 2011 compliance year, and the Commission adopted D.10-12-038 at the end of 2010 which replaces the local true-up process adopted in D.10-03-022.  </w:t>
      </w:r>
    </w:p>
    <w:p w:rsidR="001B7740" w:rsidRPr="00AD151D" w:rsidRDefault="001B7740" w:rsidP="00D76C00">
      <w:pPr>
        <w:ind w:firstLine="576"/>
      </w:pPr>
    </w:p>
    <w:p w:rsidR="00AE7D50" w:rsidRDefault="00AE7D50" w:rsidP="00650937">
      <w:pPr>
        <w:ind w:firstLine="576"/>
      </w:pPr>
      <w:r w:rsidRPr="00AD151D">
        <w:t xml:space="preserve">The </w:t>
      </w:r>
      <w:r w:rsidR="001B7740">
        <w:t xml:space="preserve">new </w:t>
      </w:r>
      <w:r w:rsidRPr="00AD151D">
        <w:t>local true up process requires LSEs to file revised load forecasts</w:t>
      </w:r>
      <w:r w:rsidR="001B7740">
        <w:t xml:space="preserve"> for August’s peak load </w:t>
      </w:r>
      <w:r w:rsidRPr="00AD151D">
        <w:t xml:space="preserve">twice </w:t>
      </w:r>
      <w:r w:rsidR="001B7740">
        <w:t>during the year</w:t>
      </w:r>
      <w:r w:rsidRPr="00AD151D">
        <w:t xml:space="preserve">.  The CEC uses these revised August </w:t>
      </w:r>
      <w:r w:rsidR="001B7740">
        <w:t xml:space="preserve">load </w:t>
      </w:r>
      <w:r w:rsidRPr="00AD151D">
        <w:t xml:space="preserve">forecasts to update each LSE’s load share which is used to </w:t>
      </w:r>
      <w:r w:rsidR="00B414BC" w:rsidRPr="00AD151D">
        <w:t>reallocate</w:t>
      </w:r>
      <w:r w:rsidRPr="00AD151D">
        <w:t xml:space="preserve"> the adopted local capacity requirements.  The difference between the original allocations and the reallocations </w:t>
      </w:r>
      <w:r w:rsidR="007B7AE5">
        <w:t>gets</w:t>
      </w:r>
      <w:r w:rsidRPr="00AD151D">
        <w:t xml:space="preserve"> distributed to LSEs as the incremental Local requirement </w:t>
      </w:r>
      <w:r w:rsidR="007B7AE5">
        <w:t xml:space="preserve"> for their</w:t>
      </w:r>
      <w:r w:rsidRPr="00AD151D">
        <w:t xml:space="preserve"> req</w:t>
      </w:r>
      <w:r w:rsidR="00863E5C" w:rsidRPr="00AD151D">
        <w:t xml:space="preserve">uired </w:t>
      </w:r>
      <w:r w:rsidR="007B7AE5">
        <w:t>monthly filing</w:t>
      </w:r>
      <w:r w:rsidR="00863E5C" w:rsidRPr="00AD151D">
        <w:t xml:space="preserve">. </w:t>
      </w:r>
    </w:p>
    <w:p w:rsidR="00186273" w:rsidRPr="00AD151D" w:rsidRDefault="00186273" w:rsidP="00650937">
      <w:pPr>
        <w:ind w:firstLine="576"/>
      </w:pPr>
    </w:p>
    <w:p w:rsidR="00AE7D50" w:rsidRPr="00AD151D" w:rsidRDefault="00AE7D50">
      <w:pPr>
        <w:ind w:firstLine="720"/>
      </w:pPr>
      <w:r w:rsidRPr="00AD151D">
        <w:t>LSEs submitted their first revised August forecast to the CEC on January 31</w:t>
      </w:r>
      <w:r w:rsidRPr="00AD151D">
        <w:rPr>
          <w:vertAlign w:val="superscript"/>
        </w:rPr>
        <w:t>st</w:t>
      </w:r>
      <w:r w:rsidRPr="00AD151D">
        <w:t xml:space="preserve"> along with their 60 day-ahead (April) load forecast.  After vetting these values the CEC revised the August load shares, then ED applied the revised load shares to the aggregate local requirements and sent out the incremental local allocation values with the CAM- RMR allocations to be used in the Month-ahead May and June 2011 filings.  Energy division checked to make sure that each LSE meet their reallocated local requirement, using these values, for May and June 2011.  The same process </w:t>
      </w:r>
      <w:r w:rsidR="007B7AE5">
        <w:t xml:space="preserve">gets </w:t>
      </w:r>
      <w:r w:rsidRPr="00AD151D">
        <w:t>repeated again beginning with a revised August Forecast filed on April 2</w:t>
      </w:r>
      <w:r w:rsidRPr="00AD151D">
        <w:rPr>
          <w:vertAlign w:val="superscript"/>
        </w:rPr>
        <w:t>nd</w:t>
      </w:r>
      <w:r w:rsidRPr="00AD151D">
        <w:t>. The second local true-up values were sent out on April 18</w:t>
      </w:r>
      <w:r w:rsidRPr="00AD151D">
        <w:rPr>
          <w:vertAlign w:val="superscript"/>
        </w:rPr>
        <w:t>th</w:t>
      </w:r>
      <w:r w:rsidRPr="00AD151D">
        <w:t xml:space="preserve"> with the July CAM</w:t>
      </w:r>
      <w:r w:rsidR="00EC13EF">
        <w:t>-</w:t>
      </w:r>
      <w:r w:rsidR="00EC13EF" w:rsidRPr="00AD151D">
        <w:t xml:space="preserve">RMR </w:t>
      </w:r>
      <w:r w:rsidRPr="00AD151D">
        <w:t xml:space="preserve">letter.  These incremental </w:t>
      </w:r>
      <w:r w:rsidRPr="00AD151D">
        <w:lastRenderedPageBreak/>
        <w:t>values were used for the remainder of 2011 (July to December MA filings).  Energy Division checked to make sure each LSE meet their second revi</w:t>
      </w:r>
      <w:r w:rsidR="001F7D86">
        <w:t>sed local requirement for July-</w:t>
      </w:r>
      <w:r w:rsidRPr="00AD151D">
        <w:t xml:space="preserve">December MA filings.   </w:t>
      </w:r>
    </w:p>
    <w:p w:rsidR="00AE7D50" w:rsidRPr="006C5D7A" w:rsidRDefault="00AE7D50">
      <w:pPr>
        <w:pStyle w:val="Heading2"/>
        <w:numPr>
          <w:ilvl w:val="1"/>
          <w:numId w:val="18"/>
        </w:numPr>
        <w:rPr>
          <w:i w:val="0"/>
        </w:rPr>
      </w:pPr>
      <w:bookmarkStart w:id="57" w:name="_Toc153686722"/>
      <w:bookmarkStart w:id="58" w:name="_Toc153708215"/>
      <w:bookmarkStart w:id="59" w:name="_Toc286156250"/>
      <w:bookmarkStart w:id="60" w:name="_Toc286156252"/>
      <w:bookmarkStart w:id="61" w:name="_Toc286156307"/>
      <w:bookmarkStart w:id="62" w:name="_Toc286156309"/>
      <w:bookmarkStart w:id="63" w:name="_Toc286156422"/>
      <w:bookmarkStart w:id="64" w:name="_Toc286156517"/>
      <w:bookmarkStart w:id="65" w:name="_Toc224022438"/>
      <w:bookmarkStart w:id="66" w:name="_Toc347827050"/>
      <w:bookmarkEnd w:id="57"/>
      <w:bookmarkEnd w:id="58"/>
      <w:bookmarkEnd w:id="59"/>
      <w:bookmarkEnd w:id="60"/>
      <w:bookmarkEnd w:id="61"/>
      <w:bookmarkEnd w:id="62"/>
      <w:bookmarkEnd w:id="63"/>
      <w:bookmarkEnd w:id="64"/>
      <w:r w:rsidRPr="006C5D7A">
        <w:rPr>
          <w:i w:val="0"/>
        </w:rPr>
        <w:t>Total RA Resources Available to the CAISO</w:t>
      </w:r>
      <w:bookmarkEnd w:id="65"/>
      <w:bookmarkEnd w:id="66"/>
    </w:p>
    <w:p w:rsidR="001F7D86" w:rsidRDefault="00AE7D50">
      <w:pPr>
        <w:spacing w:before="120"/>
        <w:ind w:firstLine="720"/>
      </w:pPr>
      <w:r w:rsidRPr="00AD151D">
        <w:t xml:space="preserve">The CPUC has coordinated its RA program with the CAISO’s reliability requirements.  The CAISO also receives resource adequacy filings from non-CPUC jurisdictional LSEs.  </w:t>
      </w:r>
      <w:r w:rsidR="00F27FC0" w:rsidRPr="00AD151D">
        <w:fldChar w:fldCharType="begin"/>
      </w:r>
      <w:r w:rsidR="00F27FC0" w:rsidRPr="00AD151D">
        <w:instrText xml:space="preserve"> REF _Ref225067824 \h  \* MERGEFORMAT </w:instrText>
      </w:r>
      <w:r w:rsidR="00F27FC0" w:rsidRPr="00AD151D">
        <w:fldChar w:fldCharType="separate"/>
      </w:r>
      <w:r w:rsidR="00B3535E" w:rsidRPr="00AD151D">
        <w:t xml:space="preserve">Figure </w:t>
      </w:r>
      <w:r w:rsidR="00B3535E">
        <w:t>2</w:t>
      </w:r>
      <w:r w:rsidR="00F27FC0" w:rsidRPr="00AD151D">
        <w:fldChar w:fldCharType="end"/>
      </w:r>
      <w:r w:rsidRPr="00AD151D">
        <w:rPr>
          <w:rStyle w:val="ListBulletChar"/>
        </w:rPr>
        <w:t xml:space="preserve"> </w:t>
      </w:r>
      <w:r w:rsidRPr="00AD151D">
        <w:t>compares the total LSE forecasts used for compliance across the CAISO against the CAISO Procurement obligation, total RA procured by LSEs within CAISO, and the actual CAISO peak load in the summer months of 201</w:t>
      </w:r>
      <w:r w:rsidR="003A04F3" w:rsidRPr="00AD151D">
        <w:t>1</w:t>
      </w:r>
      <w:r w:rsidRPr="00AD151D">
        <w:t>.  In all months, the capacity available to CAISO exceeded the actual monthly peak load, and only</w:t>
      </w:r>
      <w:r w:rsidR="001F7D86">
        <w:t xml:space="preserve"> </w:t>
      </w:r>
      <w:r w:rsidRPr="00AD151D">
        <w:t>September</w:t>
      </w:r>
      <w:r w:rsidR="001F7D86">
        <w:t>’s</w:t>
      </w:r>
      <w:r w:rsidRPr="00AD151D">
        <w:t xml:space="preserve"> actual peak load approach</w:t>
      </w:r>
      <w:r w:rsidR="001F7D86">
        <w:t>ed</w:t>
      </w:r>
      <w:r w:rsidRPr="00AD151D">
        <w:t xml:space="preserve"> the Year-Ahead load forecast for that month.  </w:t>
      </w:r>
    </w:p>
    <w:p w:rsidR="00AE7D50" w:rsidRPr="00AD151D" w:rsidRDefault="00AE7D50">
      <w:pPr>
        <w:spacing w:before="120"/>
        <w:ind w:firstLine="720"/>
      </w:pPr>
      <w:r w:rsidRPr="00AD151D">
        <w:t xml:space="preserve">Actual peak load for </w:t>
      </w:r>
      <w:r w:rsidR="003A04F3" w:rsidRPr="00AD151D">
        <w:t>2011</w:t>
      </w:r>
      <w:r w:rsidRPr="00AD151D">
        <w:t xml:space="preserve"> occurred in </w:t>
      </w:r>
      <w:r w:rsidR="00AD151D">
        <w:t>September</w:t>
      </w:r>
      <w:r w:rsidRPr="00AD151D">
        <w:t xml:space="preserve">, when capacity </w:t>
      </w:r>
      <w:r w:rsidR="00AD151D">
        <w:t xml:space="preserve">resources procured by all LSEs, </w:t>
      </w:r>
      <w:r w:rsidRPr="00AD151D">
        <w:t>CPUC jurisdictio</w:t>
      </w:r>
      <w:r w:rsidR="00AD151D">
        <w:t>nal and non-CPUC jurisdictional</w:t>
      </w:r>
      <w:r w:rsidRPr="00AD151D">
        <w:t xml:space="preserve"> totaled </w:t>
      </w:r>
      <w:r w:rsidR="00AD151D">
        <w:t>53,</w:t>
      </w:r>
      <w:r w:rsidR="00452970">
        <w:t>079</w:t>
      </w:r>
      <w:r w:rsidR="00452970" w:rsidRPr="00AD151D">
        <w:t xml:space="preserve"> </w:t>
      </w:r>
      <w:r w:rsidR="00AD151D">
        <w:t>MW of resources to meet 45</w:t>
      </w:r>
      <w:r w:rsidRPr="00AD151D">
        <w:t>,</w:t>
      </w:r>
      <w:r w:rsidR="00AD151D">
        <w:t>569</w:t>
      </w:r>
      <w:r w:rsidRPr="00AD151D">
        <w:t xml:space="preserve"> MW of actual CAISO peak load.  System RA resources, including Demand Response resources, ranged between </w:t>
      </w:r>
      <w:r w:rsidR="00E754BD">
        <w:t>44,25</w:t>
      </w:r>
      <w:r w:rsidR="00452970">
        <w:t>2</w:t>
      </w:r>
      <w:r w:rsidR="001F7D86">
        <w:t xml:space="preserve"> MW in </w:t>
      </w:r>
      <w:r w:rsidRPr="00AD151D">
        <w:t xml:space="preserve">May to </w:t>
      </w:r>
      <w:r w:rsidR="00E754BD">
        <w:t>56,714</w:t>
      </w:r>
      <w:r w:rsidRPr="00AD151D">
        <w:t xml:space="preserve"> MW </w:t>
      </w:r>
      <w:r w:rsidR="001F7D86">
        <w:t>in</w:t>
      </w:r>
      <w:r w:rsidRPr="00AD151D">
        <w:t>August, or between 10</w:t>
      </w:r>
      <w:r w:rsidR="00E754BD">
        <w:t>1</w:t>
      </w:r>
      <w:r w:rsidRPr="00AD151D">
        <w:t xml:space="preserve"> and 10</w:t>
      </w:r>
      <w:r w:rsidR="00E754BD">
        <w:t>3</w:t>
      </w:r>
      <w:r w:rsidRPr="00AD151D">
        <w:t xml:space="preserve"> percent of CAISO total procurement obligations.  </w:t>
      </w:r>
    </w:p>
    <w:p w:rsidR="00AE7D50" w:rsidRPr="00AD151D" w:rsidRDefault="00AE7D50" w:rsidP="00B6489E">
      <w:pPr>
        <w:pStyle w:val="Caption"/>
        <w:keepNext/>
        <w:keepLines/>
        <w:spacing w:before="120"/>
      </w:pPr>
      <w:bookmarkStart w:id="67" w:name="_Ref225067824"/>
      <w:bookmarkStart w:id="68" w:name="_Ref347420896"/>
      <w:bookmarkStart w:id="69" w:name="_Ref347421466"/>
      <w:bookmarkStart w:id="70" w:name="_Toc347827091"/>
      <w:r w:rsidRPr="00AD151D">
        <w:t xml:space="preserve">Figure </w:t>
      </w:r>
      <w:r w:rsidR="00B3535E">
        <w:fldChar w:fldCharType="begin"/>
      </w:r>
      <w:r w:rsidR="00B3535E">
        <w:instrText xml:space="preserve"> SEQ Figure \* ARABIC </w:instrText>
      </w:r>
      <w:r w:rsidR="00B3535E">
        <w:fldChar w:fldCharType="separate"/>
      </w:r>
      <w:r w:rsidR="00B3535E">
        <w:rPr>
          <w:noProof/>
        </w:rPr>
        <w:t>2</w:t>
      </w:r>
      <w:r w:rsidR="00B3535E">
        <w:rPr>
          <w:noProof/>
        </w:rPr>
        <w:fldChar w:fldCharType="end"/>
      </w:r>
      <w:bookmarkEnd w:id="67"/>
      <w:r w:rsidR="00BB596F" w:rsidRPr="00AD151D">
        <w:t>. Total CAISO Summer 2011</w:t>
      </w:r>
      <w:r w:rsidRPr="00AD151D">
        <w:t xml:space="preserve"> Forward Procurement Obligation and Forward Procurement vs. LSE Demand Forecast and Actual Monthly Peak Demand (MW)</w:t>
      </w:r>
      <w:bookmarkEnd w:id="68"/>
      <w:bookmarkEnd w:id="69"/>
      <w:bookmarkEnd w:id="70"/>
    </w:p>
    <w:p w:rsidR="00B6489E" w:rsidRDefault="00BB596F" w:rsidP="00B6489E">
      <w:pPr>
        <w:keepNext/>
        <w:keepLines/>
        <w:spacing w:before="120"/>
        <w:rPr>
          <w:sz w:val="18"/>
          <w:szCs w:val="18"/>
        </w:rPr>
      </w:pPr>
      <w:r w:rsidRPr="00AD151D">
        <w:rPr>
          <w:noProof/>
        </w:rPr>
        <w:drawing>
          <wp:inline distT="0" distB="0" distL="0" distR="0" wp14:anchorId="4D3776A2" wp14:editId="63CF0D60">
            <wp:extent cx="5262113" cy="3579962"/>
            <wp:effectExtent l="0" t="0" r="15240" b="209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7D50" w:rsidRPr="00AD151D" w:rsidRDefault="00AE7D50" w:rsidP="00B6489E">
      <w:pPr>
        <w:keepNext/>
        <w:keepLines/>
        <w:spacing w:before="120"/>
        <w:rPr>
          <w:sz w:val="20"/>
          <w:szCs w:val="20"/>
        </w:rPr>
      </w:pPr>
      <w:r w:rsidRPr="00AD151D">
        <w:rPr>
          <w:sz w:val="18"/>
          <w:szCs w:val="18"/>
        </w:rPr>
        <w:t>Source: Aggregated data compiled from CAISO MRTU Analysis and checked against Monthly CPUC and non-CPUC RA Filings</w:t>
      </w:r>
    </w:p>
    <w:p w:rsidR="00AE7D50" w:rsidRPr="00AD151D" w:rsidRDefault="00F27FC0">
      <w:pPr>
        <w:spacing w:before="120"/>
        <w:ind w:firstLine="720"/>
      </w:pPr>
      <w:r w:rsidRPr="00AD151D">
        <w:fldChar w:fldCharType="begin"/>
      </w:r>
      <w:r w:rsidRPr="00AD151D">
        <w:instrText xml:space="preserve"> REF _Ref191732434 \h  \* MERGEFORMAT </w:instrText>
      </w:r>
      <w:r w:rsidRPr="00AD151D">
        <w:fldChar w:fldCharType="separate"/>
      </w:r>
      <w:r w:rsidR="00B3535E" w:rsidRPr="00B3535E">
        <w:rPr>
          <w:bCs/>
        </w:rPr>
        <w:t xml:space="preserve">Table </w:t>
      </w:r>
      <w:r w:rsidR="00B3535E" w:rsidRPr="00B3535E">
        <w:rPr>
          <w:bCs/>
          <w:noProof/>
        </w:rPr>
        <w:t>18</w:t>
      </w:r>
      <w:r w:rsidRPr="00AD151D">
        <w:fldChar w:fldCharType="end"/>
      </w:r>
      <w:r w:rsidR="00AE7D50" w:rsidRPr="00AD151D">
        <w:t xml:space="preserve"> (Appendix 1) illustrates total procurement for the summer of 201</w:t>
      </w:r>
      <w:r w:rsidR="003A04F3" w:rsidRPr="00AD151D">
        <w:t>1</w:t>
      </w:r>
      <w:r w:rsidR="00AE7D50" w:rsidRPr="00AD151D">
        <w:t xml:space="preserve"> for all LSEs by contract type, and compares such procurement to the CAISO procurement </w:t>
      </w:r>
      <w:r w:rsidR="00AE7D50" w:rsidRPr="00AD151D">
        <w:lastRenderedPageBreak/>
        <w:t xml:space="preserve">obligation.  The data represented in </w:t>
      </w:r>
      <w:r w:rsidRPr="00AD151D">
        <w:fldChar w:fldCharType="begin"/>
      </w:r>
      <w:r w:rsidRPr="00AD151D">
        <w:instrText xml:space="preserve"> REF _Ref225067824 \h  \* MERGEFORMAT </w:instrText>
      </w:r>
      <w:r w:rsidRPr="00AD151D">
        <w:fldChar w:fldCharType="separate"/>
      </w:r>
      <w:r w:rsidR="00B3535E" w:rsidRPr="00AD151D">
        <w:t xml:space="preserve">Figure </w:t>
      </w:r>
      <w:r w:rsidR="00B3535E">
        <w:t>2</w:t>
      </w:r>
      <w:r w:rsidRPr="00AD151D">
        <w:fldChar w:fldCharType="end"/>
      </w:r>
      <w:r w:rsidR="00AE7D50" w:rsidRPr="00AD151D">
        <w:t xml:space="preserve"> derives from </w:t>
      </w:r>
      <w:r w:rsidRPr="00AD151D">
        <w:fldChar w:fldCharType="begin"/>
      </w:r>
      <w:r w:rsidRPr="00AD151D">
        <w:instrText xml:space="preserve"> REF _Ref191732434 \h  \* MERGEFORMAT </w:instrText>
      </w:r>
      <w:r w:rsidRPr="00AD151D">
        <w:fldChar w:fldCharType="separate"/>
      </w:r>
      <w:r w:rsidR="00B3535E" w:rsidRPr="00B3535E">
        <w:rPr>
          <w:bCs/>
        </w:rPr>
        <w:t xml:space="preserve">Table </w:t>
      </w:r>
      <w:r w:rsidR="00B3535E" w:rsidRPr="00B3535E">
        <w:rPr>
          <w:bCs/>
          <w:noProof/>
        </w:rPr>
        <w:t>18</w:t>
      </w:r>
      <w:r w:rsidRPr="00AD151D">
        <w:fldChar w:fldCharType="end"/>
      </w:r>
      <w:r w:rsidR="00AE7D50" w:rsidRPr="00AD151D">
        <w:t xml:space="preserve">.  </w:t>
      </w:r>
      <w:bookmarkStart w:id="71" w:name="_Ref161576487"/>
      <w:r w:rsidR="00AE7D50" w:rsidRPr="00AD151D">
        <w:t>Significantly, 7</w:t>
      </w:r>
      <w:r w:rsidR="003A04F3" w:rsidRPr="00AD151D">
        <w:t>8</w:t>
      </w:r>
      <w:r w:rsidR="00AE7D50" w:rsidRPr="00AD151D">
        <w:t xml:space="preserve"> to 8</w:t>
      </w:r>
      <w:r w:rsidR="003A04F3" w:rsidRPr="00AD151D">
        <w:t>0</w:t>
      </w:r>
      <w:r w:rsidR="00AE7D50" w:rsidRPr="00AD151D">
        <w:t xml:space="preserve"> percent of all procured resources for summer 201</w:t>
      </w:r>
      <w:r w:rsidR="00BB596F" w:rsidRPr="00AD151D">
        <w:t>1</w:t>
      </w:r>
      <w:r w:rsidR="00AE7D50" w:rsidRPr="00AD151D">
        <w:t xml:space="preserve"> were unit specific physical resources within the CAISO control area; </w:t>
      </w:r>
      <w:r w:rsidR="003A04F3" w:rsidRPr="00AD151D">
        <w:t>8</w:t>
      </w:r>
      <w:r w:rsidR="00AE7D50" w:rsidRPr="00AD151D">
        <w:t xml:space="preserve"> to 1</w:t>
      </w:r>
      <w:r w:rsidR="003A04F3" w:rsidRPr="00AD151D">
        <w:t>1</w:t>
      </w:r>
      <w:r w:rsidR="00AE7D50" w:rsidRPr="00AD151D">
        <w:t xml:space="preserve"> percent were imports, and about 1 percent </w:t>
      </w:r>
      <w:r w:rsidR="00B414BC" w:rsidRPr="00AD151D">
        <w:t>was</w:t>
      </w:r>
      <w:r w:rsidR="00AE7D50" w:rsidRPr="00AD151D">
        <w:t xml:space="preserve"> non-DWR Liquidated Damages contracts listed by the POUs.  </w:t>
      </w:r>
      <w:bookmarkEnd w:id="71"/>
    </w:p>
    <w:p w:rsidR="00AE7D50" w:rsidRPr="00AD151D" w:rsidRDefault="00AE7D50">
      <w:pPr>
        <w:pStyle w:val="Heading1"/>
        <w:numPr>
          <w:ilvl w:val="0"/>
          <w:numId w:val="18"/>
        </w:numPr>
        <w:spacing w:before="120"/>
      </w:pPr>
      <w:bookmarkStart w:id="72" w:name="_Toc223253253"/>
      <w:bookmarkStart w:id="73" w:name="_Toc223315665"/>
      <w:bookmarkStart w:id="74" w:name="_Toc224022439"/>
      <w:bookmarkStart w:id="75" w:name="_Toc347827051"/>
      <w:r w:rsidRPr="00AD151D">
        <w:t>Process for Determining NQC of RA Resources</w:t>
      </w:r>
      <w:bookmarkEnd w:id="72"/>
      <w:bookmarkEnd w:id="73"/>
      <w:bookmarkEnd w:id="74"/>
      <w:bookmarkEnd w:id="75"/>
      <w:r w:rsidRPr="00AD151D">
        <w:tab/>
      </w:r>
    </w:p>
    <w:p w:rsidR="00AE7D50" w:rsidRPr="00AD151D" w:rsidRDefault="006C5D7A">
      <w:pPr>
        <w:spacing w:before="120"/>
        <w:ind w:firstLine="720"/>
      </w:pPr>
      <w:r>
        <w:t>NQC</w:t>
      </w:r>
      <w:r w:rsidR="00AE7D50" w:rsidRPr="00AD151D">
        <w:t xml:space="preserve"> is the amount of a resource’s capacity that can be counted for RA compliance filings.  The CPUC established NQC counting conventions, which are computed based on the applicable resource type.  Qualifying Capacity (QC) represents the maximum capacity eligible to be counted for meeting the CPUC’s RAR prior to assessing the deliverability of the resource.  The CAISO adjusts a resource’s QC for deliverability; the resulting value is the NQC.  Each year, the CPUC posts on its website the NQC for each resource that is eligible to sell RA capacity to CPUC jurisdictional LSEs.  The CPUC adopted the current QC counting conventions in D.10-06-036.</w:t>
      </w:r>
      <w:r w:rsidR="00AE7D50" w:rsidRPr="00AD151D">
        <w:rPr>
          <w:rStyle w:val="FootnoteReference"/>
        </w:rPr>
        <w:footnoteReference w:id="23"/>
      </w:r>
    </w:p>
    <w:p w:rsidR="00B07A8B" w:rsidRDefault="00B07A8B" w:rsidP="00C51DD8">
      <w:pPr>
        <w:spacing w:before="120"/>
        <w:ind w:firstLine="720"/>
      </w:pPr>
      <w:r>
        <w:t>The</w:t>
      </w:r>
      <w:r w:rsidRPr="00AD151D">
        <w:t xml:space="preserve"> </w:t>
      </w:r>
      <w:r>
        <w:t xml:space="preserve">NQC </w:t>
      </w:r>
      <w:r w:rsidRPr="00AD151D">
        <w:t>in</w:t>
      </w:r>
      <w:r>
        <w:t>creased by 105MWs in</w:t>
      </w:r>
      <w:r w:rsidRPr="00AD151D">
        <w:t xml:space="preserve"> 2011 </w:t>
      </w:r>
      <w:r>
        <w:t>from</w:t>
      </w:r>
      <w:r w:rsidRPr="00AD151D">
        <w:t xml:space="preserve"> 2010.  </w:t>
      </w:r>
      <w:r>
        <w:t>This increase can be attributed to both new resources that came online in 2010 that were added to the NQC list for 2011 and the changes in resource performance from one year to the next.  For resources whose NQC is based on performance, such as wind and solar resources, each year new data replaces a portion of the old data causing some year to year variation.</w:t>
      </w:r>
      <w:r w:rsidR="00C51DD8">
        <w:t xml:space="preserve">  </w:t>
      </w:r>
    </w:p>
    <w:p w:rsidR="00C51DD8" w:rsidRDefault="00C51DD8" w:rsidP="00C51DD8">
      <w:pPr>
        <w:spacing w:before="120"/>
        <w:ind w:firstLine="720"/>
      </w:pPr>
      <w:r>
        <w:t>T</w:t>
      </w:r>
      <w:r w:rsidRPr="00AD151D">
        <w:t>here were several additions to the overall fleet in 2011</w:t>
      </w:r>
      <w:r>
        <w:t xml:space="preserve"> after the publishing of the 2011 NQC list</w:t>
      </w:r>
      <w:r w:rsidRPr="00AD151D">
        <w:t>.</w:t>
      </w:r>
      <w:r w:rsidRPr="00AD151D">
        <w:rPr>
          <w:rStyle w:val="FootnoteReference"/>
        </w:rPr>
        <w:footnoteReference w:id="24"/>
      </w:r>
      <w:r w:rsidRPr="00AD151D">
        <w:t xml:space="preserve">  </w:t>
      </w:r>
      <w:r w:rsidR="00B07A8B">
        <w:t xml:space="preserve">Overall there was a loss of 329 MWs of NQC </w:t>
      </w:r>
      <w:r w:rsidR="001F7D86">
        <w:t xml:space="preserve">after </w:t>
      </w:r>
      <w:r w:rsidR="00B07A8B">
        <w:t>netting</w:t>
      </w:r>
      <w:r w:rsidR="001F7D86">
        <w:t xml:space="preserve"> 504MWs of</w:t>
      </w:r>
      <w:r w:rsidR="00B07A8B">
        <w:t xml:space="preserve"> </w:t>
      </w:r>
      <w:r w:rsidR="001F7D86">
        <w:t xml:space="preserve">online </w:t>
      </w:r>
      <w:r w:rsidRPr="00AD151D">
        <w:t xml:space="preserve">additions </w:t>
      </w:r>
      <w:r w:rsidR="00B07A8B">
        <w:t xml:space="preserve">with </w:t>
      </w:r>
      <w:r>
        <w:t xml:space="preserve">833 MW of </w:t>
      </w:r>
      <w:r w:rsidRPr="00AD151D">
        <w:t>retire</w:t>
      </w:r>
      <w:r w:rsidR="001F7D86">
        <w:t>ments</w:t>
      </w:r>
      <w:r w:rsidRPr="00AD151D">
        <w:t xml:space="preserve"> </w:t>
      </w:r>
      <w:r>
        <w:t>in 2011</w:t>
      </w:r>
      <w:r w:rsidRPr="00AD151D">
        <w:t xml:space="preserve">.    </w:t>
      </w:r>
    </w:p>
    <w:p w:rsidR="00C51DD8" w:rsidRPr="00650B75" w:rsidRDefault="00C51DD8" w:rsidP="00B07A8B">
      <w:pPr>
        <w:pStyle w:val="Caption"/>
        <w:spacing w:before="120"/>
      </w:pPr>
      <w:bookmarkStart w:id="76" w:name="_Ref347420884"/>
      <w:bookmarkStart w:id="77" w:name="_Toc347827076"/>
      <w:r w:rsidRPr="00003488">
        <w:rPr>
          <w:sz w:val="24"/>
          <w:szCs w:val="24"/>
        </w:rPr>
        <w:t xml:space="preserve">Table </w:t>
      </w:r>
      <w:r w:rsidRPr="00B07A8B">
        <w:rPr>
          <w:sz w:val="24"/>
          <w:szCs w:val="24"/>
        </w:rPr>
        <w:fldChar w:fldCharType="begin"/>
      </w:r>
      <w:r w:rsidRPr="00003488">
        <w:rPr>
          <w:sz w:val="24"/>
          <w:szCs w:val="24"/>
        </w:rPr>
        <w:instrText xml:space="preserve"> SEQ Table \* ARABIC </w:instrText>
      </w:r>
      <w:r w:rsidRPr="00B07A8B">
        <w:rPr>
          <w:sz w:val="24"/>
          <w:szCs w:val="24"/>
        </w:rPr>
        <w:fldChar w:fldCharType="separate"/>
      </w:r>
      <w:r w:rsidR="00B3535E">
        <w:rPr>
          <w:noProof/>
          <w:sz w:val="24"/>
          <w:szCs w:val="24"/>
        </w:rPr>
        <w:t>6</w:t>
      </w:r>
      <w:r w:rsidRPr="00B07A8B">
        <w:rPr>
          <w:sz w:val="24"/>
          <w:szCs w:val="24"/>
        </w:rPr>
        <w:fldChar w:fldCharType="end"/>
      </w:r>
      <w:r w:rsidRPr="00003488">
        <w:rPr>
          <w:sz w:val="24"/>
          <w:szCs w:val="24"/>
        </w:rPr>
        <w:t xml:space="preserve"> </w:t>
      </w:r>
      <w:r w:rsidRPr="00B07A8B">
        <w:rPr>
          <w:color w:val="000000"/>
          <w:sz w:val="24"/>
          <w:szCs w:val="24"/>
        </w:rPr>
        <w:t>New Resources that came online in 2011 since the 2011 NQC list</w:t>
      </w:r>
      <w:bookmarkEnd w:id="76"/>
      <w:bookmarkEnd w:id="77"/>
    </w:p>
    <w:tbl>
      <w:tblPr>
        <w:tblW w:w="6765" w:type="dxa"/>
        <w:tblInd w:w="93" w:type="dxa"/>
        <w:tblLook w:val="04A0" w:firstRow="1" w:lastRow="0" w:firstColumn="1" w:lastColumn="0" w:noHBand="0" w:noVBand="1"/>
      </w:tblPr>
      <w:tblGrid>
        <w:gridCol w:w="3975"/>
        <w:gridCol w:w="1710"/>
        <w:gridCol w:w="1080"/>
      </w:tblGrid>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B6489E" w:rsidRDefault="00C51DD8" w:rsidP="00B07A8B">
            <w:pPr>
              <w:spacing w:before="120"/>
              <w:rPr>
                <w:b/>
                <w:color w:val="000000"/>
                <w:sz w:val="22"/>
                <w:szCs w:val="22"/>
              </w:rPr>
            </w:pPr>
            <w:r w:rsidRPr="00B6489E">
              <w:rPr>
                <w:b/>
                <w:color w:val="000000"/>
                <w:sz w:val="22"/>
                <w:szCs w:val="22"/>
              </w:rPr>
              <w:t>Resource Name</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B6489E" w:rsidRDefault="00B414BC" w:rsidP="00B07A8B">
            <w:pPr>
              <w:spacing w:before="120"/>
              <w:rPr>
                <w:b/>
                <w:color w:val="000000"/>
                <w:sz w:val="22"/>
                <w:szCs w:val="22"/>
              </w:rPr>
            </w:pPr>
            <w:r w:rsidRPr="00B6489E">
              <w:rPr>
                <w:b/>
                <w:color w:val="000000"/>
                <w:sz w:val="22"/>
                <w:szCs w:val="22"/>
              </w:rPr>
              <w:t>Technology</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B6489E" w:rsidRDefault="00C51DD8" w:rsidP="00B07A8B">
            <w:pPr>
              <w:spacing w:before="120"/>
              <w:rPr>
                <w:b/>
                <w:color w:val="000000"/>
                <w:sz w:val="22"/>
                <w:szCs w:val="22"/>
              </w:rPr>
            </w:pPr>
            <w:r w:rsidRPr="00B6489E">
              <w:rPr>
                <w:b/>
                <w:color w:val="000000"/>
                <w:sz w:val="22"/>
                <w:szCs w:val="22"/>
              </w:rPr>
              <w:t>NQC</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CPC East - Alta Wind 4</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Wind</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16.98</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CPC East - Alta Wind 5</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Wind</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27.97</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CPC West - Alta 3</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Wind</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24.98</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CANYON POWER PLANT UNIT 1</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Peaker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49.50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CANYON POWER PLANT UNIT 2</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Peaker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49.50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CANYON POWER PLANT UNIT 3</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Peaker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49.50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CANYON POWER PLANT UNIT 4</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Peaker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49.50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Avenal Park Solar Project</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Solar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5.03</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Sand Drag Solar Project</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Solar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15.94</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Sun City Solar Project</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Solar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16.78</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FPL Energy Montezuma Wind</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Wind</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6.13</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Shiloh III Wind Project, LLC</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Wind</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16.65</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CSUEB Fuel Cell Station</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Fuel Cell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1.55</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Sycamore Energy 1</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Landfill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1.90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lastRenderedPageBreak/>
              <w:t>Copper Mountain 10</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Solar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8.39</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SF State Fuel Cell Station</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Fuel Cell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1.75</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Lake Hodges Pumped Hydro unit 1</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Pumped Hydro</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20.00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Ontario RT Solar</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Solar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4.19</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Riverside Energy Res. Ctr Unit 3</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Peaker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49.50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Riverside Energy Res. Ctr Unit 4</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Peaker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49.50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Redlands RT Solar</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Solar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2.10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Westside Solar Station</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Solar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12.58</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San Marcos Energy</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Landfill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1.60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SIERRA PACIFIC IND. (ANDERSON)</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Biomass</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5.00</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Stroud Solar Station</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Solar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16.78</w:t>
            </w:r>
          </w:p>
        </w:tc>
      </w:tr>
      <w:tr w:rsidR="00C51DD8" w:rsidTr="00800C8F">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Rialto RT Solar</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rPr>
                <w:color w:val="000000"/>
                <w:sz w:val="22"/>
                <w:szCs w:val="22"/>
              </w:rPr>
            </w:pPr>
            <w:r w:rsidRPr="00800C8F">
              <w:rPr>
                <w:color w:val="000000"/>
                <w:sz w:val="22"/>
                <w:szCs w:val="22"/>
              </w:rPr>
              <w:t>Solar</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800C8F" w:rsidRDefault="00C51DD8" w:rsidP="00B6489E">
            <w:pPr>
              <w:spacing w:beforeLines="20" w:before="48"/>
              <w:jc w:val="right"/>
              <w:rPr>
                <w:color w:val="000000"/>
                <w:sz w:val="22"/>
                <w:szCs w:val="22"/>
              </w:rPr>
            </w:pPr>
            <w:r w:rsidRPr="00800C8F">
              <w:rPr>
                <w:color w:val="000000"/>
                <w:sz w:val="22"/>
                <w:szCs w:val="22"/>
              </w:rPr>
              <w:t>0.84</w:t>
            </w:r>
          </w:p>
        </w:tc>
      </w:tr>
      <w:tr w:rsidR="00C51DD8" w:rsidTr="00800C8F">
        <w:trPr>
          <w:trHeight w:val="64"/>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C51DD8" w:rsidRPr="00B6489E" w:rsidRDefault="00C51DD8" w:rsidP="00B07A8B">
            <w:pPr>
              <w:spacing w:before="120"/>
              <w:rPr>
                <w:b/>
                <w:color w:val="000000"/>
                <w:sz w:val="22"/>
                <w:szCs w:val="22"/>
              </w:rPr>
            </w:pPr>
            <w:r w:rsidRPr="00B6489E">
              <w:rPr>
                <w:b/>
                <w:color w:val="000000"/>
                <w:sz w:val="22"/>
                <w:szCs w:val="22"/>
              </w:rPr>
              <w:t>Total</w:t>
            </w:r>
          </w:p>
        </w:tc>
        <w:tc>
          <w:tcPr>
            <w:tcW w:w="1710" w:type="dxa"/>
            <w:tcBorders>
              <w:top w:val="nil"/>
              <w:left w:val="nil"/>
              <w:bottom w:val="single" w:sz="4" w:space="0" w:color="auto"/>
              <w:right w:val="single" w:sz="4" w:space="0" w:color="auto"/>
            </w:tcBorders>
            <w:shd w:val="clear" w:color="auto" w:fill="auto"/>
            <w:noWrap/>
            <w:vAlign w:val="bottom"/>
            <w:hideMark/>
          </w:tcPr>
          <w:p w:rsidR="00C51DD8" w:rsidRPr="00B6489E" w:rsidRDefault="00C51DD8" w:rsidP="00B07A8B">
            <w:pPr>
              <w:spacing w:before="120"/>
              <w:rPr>
                <w:b/>
                <w:color w:val="000000"/>
                <w:sz w:val="22"/>
                <w:szCs w:val="22"/>
              </w:rPr>
            </w:pPr>
            <w:r w:rsidRPr="00B6489E">
              <w:rPr>
                <w:b/>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B6489E" w:rsidRDefault="00C51DD8" w:rsidP="00B07A8B">
            <w:pPr>
              <w:spacing w:before="120"/>
              <w:jc w:val="right"/>
              <w:rPr>
                <w:b/>
                <w:color w:val="000000"/>
                <w:sz w:val="22"/>
                <w:szCs w:val="22"/>
              </w:rPr>
            </w:pPr>
            <w:r w:rsidRPr="00B6489E">
              <w:rPr>
                <w:b/>
                <w:color w:val="000000"/>
                <w:sz w:val="22"/>
                <w:szCs w:val="22"/>
              </w:rPr>
              <w:t>504.14</w:t>
            </w:r>
          </w:p>
        </w:tc>
      </w:tr>
    </w:tbl>
    <w:p w:rsidR="00C51DD8" w:rsidRDefault="00C51DD8" w:rsidP="00C51DD8">
      <w:pPr>
        <w:spacing w:before="120"/>
        <w:ind w:firstLine="720"/>
        <w:rPr>
          <w:rFonts w:ascii="Calibri" w:hAnsi="Calibri"/>
          <w:color w:val="000000"/>
          <w:sz w:val="22"/>
          <w:szCs w:val="22"/>
        </w:rPr>
      </w:pPr>
    </w:p>
    <w:p w:rsidR="00C51DD8" w:rsidRPr="00B07A8B" w:rsidRDefault="00C51DD8" w:rsidP="00B6489E">
      <w:pPr>
        <w:pStyle w:val="Caption"/>
        <w:keepNext/>
        <w:keepLines/>
        <w:spacing w:before="120"/>
        <w:rPr>
          <w:color w:val="000000"/>
          <w:sz w:val="24"/>
          <w:szCs w:val="24"/>
        </w:rPr>
      </w:pPr>
      <w:bookmarkStart w:id="78" w:name="_Ref347420883"/>
      <w:bookmarkStart w:id="79" w:name="_Toc347827077"/>
      <w:r w:rsidRPr="00003488">
        <w:rPr>
          <w:sz w:val="24"/>
          <w:szCs w:val="24"/>
        </w:rPr>
        <w:t xml:space="preserve">Table </w:t>
      </w:r>
      <w:r w:rsidRPr="00B07A8B">
        <w:rPr>
          <w:sz w:val="24"/>
          <w:szCs w:val="24"/>
        </w:rPr>
        <w:fldChar w:fldCharType="begin"/>
      </w:r>
      <w:r w:rsidRPr="00003488">
        <w:rPr>
          <w:sz w:val="24"/>
          <w:szCs w:val="24"/>
        </w:rPr>
        <w:instrText xml:space="preserve"> SEQ Table \* ARABIC </w:instrText>
      </w:r>
      <w:r w:rsidRPr="00B07A8B">
        <w:rPr>
          <w:sz w:val="24"/>
          <w:szCs w:val="24"/>
        </w:rPr>
        <w:fldChar w:fldCharType="separate"/>
      </w:r>
      <w:r w:rsidR="00B3535E">
        <w:rPr>
          <w:noProof/>
          <w:sz w:val="24"/>
          <w:szCs w:val="24"/>
        </w:rPr>
        <w:t>7</w:t>
      </w:r>
      <w:r w:rsidRPr="00B07A8B">
        <w:rPr>
          <w:sz w:val="24"/>
          <w:szCs w:val="24"/>
        </w:rPr>
        <w:fldChar w:fldCharType="end"/>
      </w:r>
      <w:r w:rsidRPr="00B07A8B">
        <w:rPr>
          <w:color w:val="000000"/>
          <w:sz w:val="24"/>
          <w:szCs w:val="24"/>
        </w:rPr>
        <w:t xml:space="preserve"> Resources that retired in 2011</w:t>
      </w:r>
      <w:bookmarkEnd w:id="78"/>
      <w:bookmarkEnd w:id="79"/>
    </w:p>
    <w:tbl>
      <w:tblPr>
        <w:tblW w:w="5197" w:type="dxa"/>
        <w:tblInd w:w="93" w:type="dxa"/>
        <w:tblLook w:val="04A0" w:firstRow="1" w:lastRow="0" w:firstColumn="1" w:lastColumn="0" w:noHBand="0" w:noVBand="1"/>
      </w:tblPr>
      <w:tblGrid>
        <w:gridCol w:w="2895"/>
        <w:gridCol w:w="1402"/>
        <w:gridCol w:w="1080"/>
      </w:tblGrid>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586B1F" w:rsidRDefault="00C51DD8" w:rsidP="00B6489E">
            <w:pPr>
              <w:keepNext/>
              <w:keepLines/>
              <w:spacing w:before="120"/>
              <w:jc w:val="center"/>
              <w:rPr>
                <w:b/>
                <w:color w:val="000000"/>
                <w:sz w:val="22"/>
                <w:szCs w:val="22"/>
              </w:rPr>
            </w:pPr>
            <w:r w:rsidRPr="00586B1F">
              <w:rPr>
                <w:b/>
                <w:color w:val="000000"/>
                <w:sz w:val="22"/>
                <w:szCs w:val="22"/>
              </w:rPr>
              <w:t>Resource Name</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586B1F" w:rsidRDefault="00C51DD8" w:rsidP="00B6489E">
            <w:pPr>
              <w:keepNext/>
              <w:keepLines/>
              <w:spacing w:before="120"/>
              <w:jc w:val="center"/>
              <w:rPr>
                <w:b/>
                <w:color w:val="000000"/>
                <w:sz w:val="22"/>
                <w:szCs w:val="22"/>
              </w:rPr>
            </w:pPr>
            <w:r w:rsidRPr="00586B1F">
              <w:rPr>
                <w:b/>
                <w:color w:val="000000"/>
                <w:sz w:val="22"/>
                <w:szCs w:val="22"/>
              </w:rPr>
              <w:t>Technology</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586B1F" w:rsidRDefault="00C51DD8" w:rsidP="00B6489E">
            <w:pPr>
              <w:keepNext/>
              <w:keepLines/>
              <w:spacing w:before="120"/>
              <w:jc w:val="center"/>
              <w:rPr>
                <w:b/>
                <w:color w:val="000000"/>
                <w:sz w:val="22"/>
                <w:szCs w:val="22"/>
              </w:rPr>
            </w:pPr>
            <w:r w:rsidRPr="00586B1F">
              <w:rPr>
                <w:b/>
                <w:color w:val="000000"/>
                <w:sz w:val="22"/>
                <w:szCs w:val="22"/>
              </w:rPr>
              <w:t>NQC</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POTRERO UNIT 3</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206.00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POTRERO UNIT 4</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52.00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POTRERO UNIT 5</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52.00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POTRERO UNIT 6</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52.00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SOUTHBAY GAS TURBINE 1</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15.00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SOUTHBAY UNIT 1</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146.00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SOUTHBAY UNIT 2</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149.60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Humboldt Bay Mobile Unit 2</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15.00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Humboldt Bay Mobile Unit 3</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15.00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Humboldt Bay Unit 1</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52.00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Humboldt Bay Unit 2</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Thermal</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53.00</w:t>
            </w:r>
          </w:p>
        </w:tc>
      </w:tr>
      <w:tr w:rsidR="00C51DD8" w:rsidTr="006C5D7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Cogen National</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color w:val="000000"/>
                <w:sz w:val="22"/>
                <w:szCs w:val="22"/>
              </w:rPr>
            </w:pPr>
            <w:r w:rsidRPr="006C5D7A">
              <w:rPr>
                <w:color w:val="000000"/>
                <w:sz w:val="22"/>
                <w:szCs w:val="22"/>
              </w:rPr>
              <w:t>Cogeneration</w:t>
            </w: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6C5D7A" w:rsidRDefault="00C51DD8" w:rsidP="00B6489E">
            <w:pPr>
              <w:keepNext/>
              <w:keepLines/>
              <w:spacing w:before="20"/>
              <w:jc w:val="center"/>
              <w:rPr>
                <w:sz w:val="22"/>
                <w:szCs w:val="22"/>
              </w:rPr>
            </w:pPr>
            <w:r w:rsidRPr="006C5D7A">
              <w:rPr>
                <w:sz w:val="22"/>
                <w:szCs w:val="22"/>
              </w:rPr>
              <w:t>25.46</w:t>
            </w:r>
          </w:p>
        </w:tc>
      </w:tr>
      <w:tr w:rsidR="00C51DD8" w:rsidTr="006C5D7A">
        <w:trPr>
          <w:trHeight w:val="314"/>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C51DD8" w:rsidRPr="00586B1F" w:rsidRDefault="00C51DD8" w:rsidP="00B6489E">
            <w:pPr>
              <w:keepNext/>
              <w:keepLines/>
              <w:spacing w:before="120"/>
              <w:jc w:val="center"/>
              <w:rPr>
                <w:b/>
                <w:color w:val="000000"/>
              </w:rPr>
            </w:pPr>
            <w:r w:rsidRPr="00586B1F">
              <w:rPr>
                <w:b/>
                <w:color w:val="000000"/>
              </w:rPr>
              <w:t>Total</w:t>
            </w:r>
          </w:p>
        </w:tc>
        <w:tc>
          <w:tcPr>
            <w:tcW w:w="1222" w:type="dxa"/>
            <w:tcBorders>
              <w:top w:val="nil"/>
              <w:left w:val="nil"/>
              <w:bottom w:val="single" w:sz="4" w:space="0" w:color="auto"/>
              <w:right w:val="single" w:sz="4" w:space="0" w:color="auto"/>
            </w:tcBorders>
            <w:shd w:val="clear" w:color="auto" w:fill="auto"/>
            <w:noWrap/>
            <w:vAlign w:val="bottom"/>
            <w:hideMark/>
          </w:tcPr>
          <w:p w:rsidR="00C51DD8" w:rsidRPr="00586B1F" w:rsidRDefault="00C51DD8" w:rsidP="00B6489E">
            <w:pPr>
              <w:keepNext/>
              <w:keepLines/>
              <w:spacing w:before="120"/>
              <w:jc w:val="center"/>
              <w:rPr>
                <w:b/>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C51DD8" w:rsidRPr="00586B1F" w:rsidRDefault="00C51DD8" w:rsidP="00B6489E">
            <w:pPr>
              <w:keepNext/>
              <w:keepLines/>
              <w:spacing w:before="120"/>
              <w:jc w:val="center"/>
              <w:rPr>
                <w:b/>
                <w:color w:val="000000"/>
              </w:rPr>
            </w:pPr>
            <w:r w:rsidRPr="00586B1F">
              <w:rPr>
                <w:b/>
                <w:color w:val="000000"/>
              </w:rPr>
              <w:t>833.06</w:t>
            </w:r>
          </w:p>
        </w:tc>
      </w:tr>
    </w:tbl>
    <w:p w:rsidR="00C51DD8" w:rsidRDefault="00C51DD8" w:rsidP="00B6489E">
      <w:pPr>
        <w:keepNext/>
        <w:keepLines/>
        <w:spacing w:before="120"/>
        <w:rPr>
          <w:rFonts w:ascii="Calibri" w:hAnsi="Calibri"/>
          <w:color w:val="000000"/>
          <w:sz w:val="22"/>
          <w:szCs w:val="22"/>
        </w:rPr>
      </w:pPr>
      <w:r>
        <w:rPr>
          <w:rFonts w:ascii="Calibri" w:hAnsi="Calibri"/>
          <w:color w:val="000000"/>
          <w:sz w:val="22"/>
          <w:szCs w:val="22"/>
        </w:rPr>
        <w:t>Source: 2011 and 2012 NQC lists posted to the CPUC website</w:t>
      </w:r>
    </w:p>
    <w:p w:rsidR="00AE7D50" w:rsidRPr="00AD151D" w:rsidRDefault="00AE7D50" w:rsidP="00C51DD8">
      <w:pPr>
        <w:spacing w:before="120"/>
        <w:ind w:firstLine="720"/>
      </w:pPr>
      <w:r w:rsidRPr="00AD151D">
        <w:t>A summary of the current status of plants subject to CEC siting review</w:t>
      </w:r>
      <w:r w:rsidR="00C12957" w:rsidRPr="00AD151D">
        <w:t xml:space="preserve"> and under construction</w:t>
      </w:r>
      <w:r w:rsidRPr="00AD151D">
        <w:t xml:space="preserve">, which may eventually be added to California’s resource pool, </w:t>
      </w:r>
      <w:r w:rsidR="00591A9D" w:rsidRPr="00AD151D">
        <w:t xml:space="preserve">can be found on the </w:t>
      </w:r>
      <w:r w:rsidRPr="00AD151D">
        <w:t>CEC website.</w:t>
      </w:r>
      <w:r w:rsidRPr="00AD151D">
        <w:rPr>
          <w:rStyle w:val="FootnoteReference"/>
        </w:rPr>
        <w:footnoteReference w:id="25"/>
      </w:r>
      <w:r w:rsidRPr="00AD151D">
        <w:t xml:space="preserve">  </w:t>
      </w:r>
    </w:p>
    <w:p w:rsidR="00AE7D50" w:rsidRPr="00277DC8" w:rsidRDefault="00AE7D50" w:rsidP="003A49CB">
      <w:pPr>
        <w:pStyle w:val="Heading2"/>
        <w:numPr>
          <w:ilvl w:val="1"/>
          <w:numId w:val="18"/>
        </w:numPr>
        <w:spacing w:before="120"/>
        <w:rPr>
          <w:i w:val="0"/>
        </w:rPr>
      </w:pPr>
      <w:bookmarkStart w:id="80" w:name="_Toc223253255"/>
      <w:bookmarkStart w:id="81" w:name="_Toc223315667"/>
      <w:bookmarkStart w:id="82" w:name="_Toc224022441"/>
      <w:bookmarkStart w:id="83" w:name="_Toc347827052"/>
      <w:r w:rsidRPr="00277DC8">
        <w:rPr>
          <w:i w:val="0"/>
        </w:rPr>
        <w:t>Establishment of Final NQC Values</w:t>
      </w:r>
      <w:bookmarkEnd w:id="83"/>
      <w:r w:rsidRPr="00277DC8">
        <w:rPr>
          <w:i w:val="0"/>
        </w:rPr>
        <w:t xml:space="preserve"> </w:t>
      </w:r>
      <w:bookmarkEnd w:id="80"/>
      <w:bookmarkEnd w:id="81"/>
      <w:bookmarkEnd w:id="82"/>
    </w:p>
    <w:p w:rsidR="00AE7D50" w:rsidRPr="00AD151D" w:rsidRDefault="00AE7D50">
      <w:pPr>
        <w:spacing w:before="120"/>
        <w:ind w:firstLine="720"/>
      </w:pPr>
      <w:r w:rsidRPr="00AD151D">
        <w:t xml:space="preserve">Input data to calculate the NQC values comes from the CAISO </w:t>
      </w:r>
      <w:r w:rsidR="001F7D86">
        <w:t xml:space="preserve">and </w:t>
      </w:r>
      <w:r w:rsidRPr="00AD151D">
        <w:t>IOUs</w:t>
      </w:r>
      <w:r w:rsidR="001F7D86">
        <w:t>.</w:t>
      </w:r>
      <w:r w:rsidRPr="00AD151D">
        <w:t xml:space="preserve">  The applicable data sets and data conventions are laid out in the Adopted QC methodology </w:t>
      </w:r>
      <w:r w:rsidRPr="00AD151D">
        <w:lastRenderedPageBreak/>
        <w:t>manual, which is posted to the CPUC website.</w:t>
      </w:r>
      <w:r w:rsidRPr="00AD151D">
        <w:rPr>
          <w:rStyle w:val="FootnoteReference"/>
        </w:rPr>
        <w:footnoteReference w:id="26"/>
      </w:r>
      <w:r w:rsidRPr="00AD151D">
        <w:t xml:space="preserve">  The NQC list includes information related to; Local Area, Zonal Area, and Deliverability for each resource.  Energy Division performs the QC calculations each summer, and then posts the NQC list to the CPUC website.</w:t>
      </w:r>
      <w:r w:rsidRPr="00AD151D">
        <w:rPr>
          <w:rStyle w:val="FootnoteReference"/>
        </w:rPr>
        <w:footnoteReference w:id="27"/>
      </w:r>
      <w:r w:rsidRPr="00AD151D">
        <w:t xml:space="preserve">  Once posted </w:t>
      </w:r>
      <w:r w:rsidR="00BB3463">
        <w:t xml:space="preserve">no changes are permitted on the list </w:t>
      </w:r>
      <w:r w:rsidRPr="00AD151D">
        <w:t>except to add new resources or correct cle</w:t>
      </w:r>
      <w:r w:rsidR="00BB3463">
        <w:t>rical</w:t>
      </w:r>
      <w:r w:rsidRPr="00AD151D">
        <w:t xml:space="preserve"> errors.   </w:t>
      </w:r>
    </w:p>
    <w:p w:rsidR="00AE7D50" w:rsidRPr="00277DC8" w:rsidRDefault="00AE7D50">
      <w:pPr>
        <w:pStyle w:val="Heading2"/>
        <w:numPr>
          <w:ilvl w:val="1"/>
          <w:numId w:val="18"/>
        </w:numPr>
        <w:spacing w:before="120"/>
        <w:rPr>
          <w:i w:val="0"/>
        </w:rPr>
      </w:pPr>
      <w:bookmarkStart w:id="84" w:name="_Toc223253256"/>
      <w:bookmarkStart w:id="85" w:name="_Toc223315668"/>
      <w:bookmarkStart w:id="86" w:name="_Toc224022442"/>
      <w:bookmarkStart w:id="87" w:name="_Toc347827053"/>
      <w:r w:rsidRPr="00277DC8">
        <w:rPr>
          <w:i w:val="0"/>
        </w:rPr>
        <w:t>Aggregate NQC Values 2006 through 2011</w:t>
      </w:r>
      <w:bookmarkEnd w:id="84"/>
      <w:bookmarkEnd w:id="85"/>
      <w:bookmarkEnd w:id="86"/>
      <w:bookmarkEnd w:id="87"/>
    </w:p>
    <w:p w:rsidR="00AE7D50" w:rsidRPr="00AD151D" w:rsidRDefault="00F27FC0">
      <w:pPr>
        <w:spacing w:before="120"/>
        <w:ind w:firstLine="720"/>
      </w:pPr>
      <w:r w:rsidRPr="00AD151D">
        <w:fldChar w:fldCharType="begin"/>
      </w:r>
      <w:r w:rsidRPr="00AD151D">
        <w:instrText xml:space="preserve"> REF _Ref223921297 \h  \* MERGEFORMAT </w:instrText>
      </w:r>
      <w:r w:rsidRPr="00AD151D">
        <w:fldChar w:fldCharType="separate"/>
      </w:r>
      <w:r w:rsidR="00B3535E" w:rsidRPr="00B3535E">
        <w:t>Table 8</w:t>
      </w:r>
      <w:r w:rsidRPr="00AD151D">
        <w:fldChar w:fldCharType="end"/>
      </w:r>
      <w:r w:rsidR="00AE7D50" w:rsidRPr="00AD151D">
        <w:t xml:space="preserve"> shows aggregate NQC values from the CAISO NQC list for 2006-2011.  While many large resources have become available over the previous few years, total NQC has not grown accordingly, partially due to resources retiring and the </w:t>
      </w:r>
      <w:r w:rsidR="00E657F3">
        <w:t>e</w:t>
      </w:r>
      <w:r w:rsidR="00AE7D50" w:rsidRPr="00AD151D">
        <w:t xml:space="preserve">ffect of new CPUC QC counting conventions that decrease the NQC of many intermittent resources.  Part of the change in NQC values has been a gradual increase in the number of resources that receive a monthly NQC value instead of an annual NQC value.  While several resources now receive a monthly value pursuant to changes in QC counting conventions adopted by the Commission (most notably, cogeneration and hydro resources now get monthly values) several larger thermal resources have begun to supply information to support monthly NQC values in light of performance </w:t>
      </w:r>
      <w:r w:rsidR="00BB3463">
        <w:t xml:space="preserve">due to </w:t>
      </w:r>
      <w:r w:rsidR="00AE7D50" w:rsidRPr="00AD151D">
        <w:t>differing ambient weather conditions.   For those facilities that were given monthly NQC values, this table shows August NQC values.</w:t>
      </w:r>
    </w:p>
    <w:p w:rsidR="00AE7D50" w:rsidRPr="00AD151D" w:rsidRDefault="00AE7D50">
      <w:pPr>
        <w:pStyle w:val="Caption"/>
        <w:keepNext/>
        <w:keepLines/>
        <w:spacing w:before="120"/>
        <w:rPr>
          <w:sz w:val="22"/>
          <w:szCs w:val="22"/>
        </w:rPr>
      </w:pPr>
      <w:bookmarkStart w:id="88" w:name="_Ref223921297"/>
      <w:bookmarkStart w:id="89" w:name="_Toc347827078"/>
      <w:r w:rsidRPr="00AD151D">
        <w:rPr>
          <w:sz w:val="22"/>
          <w:szCs w:val="22"/>
        </w:rPr>
        <w:t xml:space="preserve">Table </w:t>
      </w:r>
      <w:r w:rsidRPr="00AD151D">
        <w:rPr>
          <w:sz w:val="22"/>
          <w:szCs w:val="22"/>
        </w:rPr>
        <w:fldChar w:fldCharType="begin"/>
      </w:r>
      <w:r w:rsidRPr="00AD151D">
        <w:rPr>
          <w:sz w:val="22"/>
          <w:szCs w:val="22"/>
        </w:rPr>
        <w:instrText xml:space="preserve"> SEQ Table \* ARABIC </w:instrText>
      </w:r>
      <w:r w:rsidRPr="00AD151D">
        <w:rPr>
          <w:sz w:val="22"/>
          <w:szCs w:val="22"/>
        </w:rPr>
        <w:fldChar w:fldCharType="separate"/>
      </w:r>
      <w:r w:rsidR="00B3535E">
        <w:rPr>
          <w:noProof/>
          <w:sz w:val="22"/>
          <w:szCs w:val="22"/>
        </w:rPr>
        <w:t>8</w:t>
      </w:r>
      <w:r w:rsidRPr="00AD151D">
        <w:rPr>
          <w:sz w:val="22"/>
          <w:szCs w:val="22"/>
        </w:rPr>
        <w:fldChar w:fldCharType="end"/>
      </w:r>
      <w:bookmarkEnd w:id="88"/>
      <w:r w:rsidRPr="00AD151D">
        <w:rPr>
          <w:sz w:val="22"/>
          <w:szCs w:val="22"/>
        </w:rPr>
        <w:t>.  NQC for 2006-2011</w:t>
      </w:r>
      <w:bookmarkEnd w:id="89"/>
    </w:p>
    <w:tbl>
      <w:tblPr>
        <w:tblW w:w="7025" w:type="dxa"/>
        <w:tblInd w:w="103" w:type="dxa"/>
        <w:tblLook w:val="0000" w:firstRow="0" w:lastRow="0" w:firstColumn="0" w:lastColumn="0" w:noHBand="0" w:noVBand="0"/>
      </w:tblPr>
      <w:tblGrid>
        <w:gridCol w:w="905"/>
        <w:gridCol w:w="1260"/>
        <w:gridCol w:w="1980"/>
        <w:gridCol w:w="1440"/>
        <w:gridCol w:w="1440"/>
      </w:tblGrid>
      <w:tr w:rsidR="00AE7D50" w:rsidRPr="00AD151D">
        <w:trPr>
          <w:trHeight w:val="255"/>
        </w:trPr>
        <w:tc>
          <w:tcPr>
            <w:tcW w:w="905" w:type="dxa"/>
            <w:tcBorders>
              <w:top w:val="single" w:sz="4" w:space="0" w:color="auto"/>
              <w:left w:val="single" w:sz="4" w:space="0" w:color="auto"/>
              <w:bottom w:val="single" w:sz="4" w:space="0" w:color="auto"/>
              <w:right w:val="single" w:sz="4" w:space="0" w:color="auto"/>
            </w:tcBorders>
            <w:noWrap/>
            <w:vAlign w:val="bottom"/>
          </w:tcPr>
          <w:p w:rsidR="00AE7D50" w:rsidRPr="00AD151D" w:rsidRDefault="00AE7D50">
            <w:pPr>
              <w:keepNext/>
              <w:keepLines/>
              <w:jc w:val="center"/>
            </w:pPr>
            <w:r w:rsidRPr="00AD151D">
              <w:t>Year</w:t>
            </w:r>
          </w:p>
        </w:tc>
        <w:tc>
          <w:tcPr>
            <w:tcW w:w="126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Total NQC (MW)</w:t>
            </w:r>
          </w:p>
        </w:tc>
        <w:tc>
          <w:tcPr>
            <w:tcW w:w="198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Total Number of  Scheduling Resource IDs</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Net NQC change (MW)</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Net Gain in CAISO IDs on list</w:t>
            </w:r>
          </w:p>
        </w:tc>
      </w:tr>
      <w:tr w:rsidR="00AE7D50" w:rsidRPr="00AD151D">
        <w:trPr>
          <w:trHeight w:val="255"/>
        </w:trPr>
        <w:tc>
          <w:tcPr>
            <w:tcW w:w="905" w:type="dxa"/>
            <w:tcBorders>
              <w:top w:val="single" w:sz="4" w:space="0" w:color="auto"/>
              <w:left w:val="single" w:sz="4" w:space="0" w:color="auto"/>
              <w:bottom w:val="single" w:sz="4" w:space="0" w:color="auto"/>
              <w:right w:val="single" w:sz="4" w:space="0" w:color="auto"/>
            </w:tcBorders>
            <w:noWrap/>
            <w:vAlign w:val="bottom"/>
          </w:tcPr>
          <w:p w:rsidR="00AE7D50" w:rsidRPr="00AD151D" w:rsidRDefault="00AE7D50">
            <w:pPr>
              <w:keepNext/>
              <w:keepLines/>
              <w:jc w:val="center"/>
            </w:pPr>
            <w:r w:rsidRPr="00AD151D">
              <w:t>2006</w:t>
            </w:r>
          </w:p>
        </w:tc>
        <w:tc>
          <w:tcPr>
            <w:tcW w:w="126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46,687</w:t>
            </w:r>
          </w:p>
        </w:tc>
        <w:tc>
          <w:tcPr>
            <w:tcW w:w="198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563</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 </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 </w:t>
            </w:r>
          </w:p>
        </w:tc>
      </w:tr>
      <w:tr w:rsidR="00AE7D50" w:rsidRPr="00AD151D">
        <w:trPr>
          <w:trHeight w:val="255"/>
        </w:trPr>
        <w:tc>
          <w:tcPr>
            <w:tcW w:w="905" w:type="dxa"/>
            <w:tcBorders>
              <w:top w:val="single" w:sz="4" w:space="0" w:color="auto"/>
              <w:left w:val="single" w:sz="4" w:space="0" w:color="auto"/>
              <w:bottom w:val="single" w:sz="4" w:space="0" w:color="auto"/>
              <w:right w:val="single" w:sz="4" w:space="0" w:color="auto"/>
            </w:tcBorders>
            <w:noWrap/>
            <w:vAlign w:val="bottom"/>
          </w:tcPr>
          <w:p w:rsidR="00AE7D50" w:rsidRPr="00AD151D" w:rsidRDefault="00AE7D50">
            <w:pPr>
              <w:keepNext/>
              <w:keepLines/>
              <w:jc w:val="center"/>
            </w:pPr>
            <w:r w:rsidRPr="00AD151D">
              <w:t>2007</w:t>
            </w:r>
          </w:p>
        </w:tc>
        <w:tc>
          <w:tcPr>
            <w:tcW w:w="126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46,504</w:t>
            </w:r>
          </w:p>
        </w:tc>
        <w:tc>
          <w:tcPr>
            <w:tcW w:w="198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572</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(183)</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9</w:t>
            </w:r>
          </w:p>
        </w:tc>
      </w:tr>
      <w:tr w:rsidR="00AE7D50" w:rsidRPr="00AD151D">
        <w:trPr>
          <w:trHeight w:val="255"/>
        </w:trPr>
        <w:tc>
          <w:tcPr>
            <w:tcW w:w="905" w:type="dxa"/>
            <w:tcBorders>
              <w:top w:val="single" w:sz="4" w:space="0" w:color="auto"/>
              <w:left w:val="single" w:sz="4" w:space="0" w:color="auto"/>
              <w:bottom w:val="single" w:sz="4" w:space="0" w:color="auto"/>
              <w:right w:val="single" w:sz="4" w:space="0" w:color="auto"/>
            </w:tcBorders>
            <w:noWrap/>
            <w:vAlign w:val="bottom"/>
          </w:tcPr>
          <w:p w:rsidR="00AE7D50" w:rsidRPr="00AD151D" w:rsidRDefault="00AE7D50">
            <w:pPr>
              <w:keepNext/>
              <w:keepLines/>
              <w:jc w:val="center"/>
            </w:pPr>
            <w:r w:rsidRPr="00AD151D">
              <w:t>2008</w:t>
            </w:r>
          </w:p>
        </w:tc>
        <w:tc>
          <w:tcPr>
            <w:tcW w:w="126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48,056</w:t>
            </w:r>
          </w:p>
        </w:tc>
        <w:tc>
          <w:tcPr>
            <w:tcW w:w="198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600</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1,552</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30</w:t>
            </w:r>
          </w:p>
        </w:tc>
      </w:tr>
      <w:tr w:rsidR="00AE7D50" w:rsidRPr="00AD151D">
        <w:trPr>
          <w:trHeight w:val="255"/>
        </w:trPr>
        <w:tc>
          <w:tcPr>
            <w:tcW w:w="905" w:type="dxa"/>
            <w:tcBorders>
              <w:top w:val="single" w:sz="4" w:space="0" w:color="auto"/>
              <w:left w:val="single" w:sz="4" w:space="0" w:color="auto"/>
              <w:bottom w:val="single" w:sz="4" w:space="0" w:color="auto"/>
              <w:right w:val="single" w:sz="4" w:space="0" w:color="auto"/>
            </w:tcBorders>
            <w:noWrap/>
            <w:vAlign w:val="bottom"/>
          </w:tcPr>
          <w:p w:rsidR="00AE7D50" w:rsidRPr="00AD151D" w:rsidRDefault="00AE7D50">
            <w:pPr>
              <w:keepNext/>
              <w:keepLines/>
              <w:jc w:val="center"/>
            </w:pPr>
            <w:r w:rsidRPr="00AD151D">
              <w:t>2009</w:t>
            </w:r>
          </w:p>
        </w:tc>
        <w:tc>
          <w:tcPr>
            <w:tcW w:w="126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48,899</w:t>
            </w:r>
          </w:p>
        </w:tc>
        <w:tc>
          <w:tcPr>
            <w:tcW w:w="198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613</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843</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13</w:t>
            </w:r>
          </w:p>
        </w:tc>
      </w:tr>
      <w:tr w:rsidR="00AE7D50" w:rsidRPr="00AD151D">
        <w:trPr>
          <w:trHeight w:val="255"/>
        </w:trPr>
        <w:tc>
          <w:tcPr>
            <w:tcW w:w="905" w:type="dxa"/>
            <w:tcBorders>
              <w:top w:val="single" w:sz="4" w:space="0" w:color="auto"/>
              <w:left w:val="single" w:sz="4" w:space="0" w:color="auto"/>
              <w:bottom w:val="single" w:sz="4" w:space="0" w:color="auto"/>
              <w:right w:val="single" w:sz="4" w:space="0" w:color="auto"/>
            </w:tcBorders>
            <w:noWrap/>
            <w:vAlign w:val="bottom"/>
          </w:tcPr>
          <w:p w:rsidR="00AE7D50" w:rsidRPr="00AD151D" w:rsidRDefault="00AE7D50">
            <w:pPr>
              <w:keepNext/>
              <w:keepLines/>
              <w:jc w:val="center"/>
            </w:pPr>
            <w:r w:rsidRPr="00AD151D">
              <w:t>2010</w:t>
            </w:r>
          </w:p>
        </w:tc>
        <w:tc>
          <w:tcPr>
            <w:tcW w:w="126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51,790</w:t>
            </w:r>
          </w:p>
        </w:tc>
        <w:tc>
          <w:tcPr>
            <w:tcW w:w="198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646</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2,891</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33</w:t>
            </w:r>
          </w:p>
        </w:tc>
      </w:tr>
      <w:tr w:rsidR="00AE7D50" w:rsidRPr="00AD151D">
        <w:trPr>
          <w:trHeight w:val="255"/>
        </w:trPr>
        <w:tc>
          <w:tcPr>
            <w:tcW w:w="905" w:type="dxa"/>
            <w:tcBorders>
              <w:top w:val="single" w:sz="4" w:space="0" w:color="auto"/>
              <w:left w:val="single" w:sz="4" w:space="0" w:color="auto"/>
              <w:bottom w:val="single" w:sz="4" w:space="0" w:color="auto"/>
              <w:right w:val="single" w:sz="4" w:space="0" w:color="auto"/>
            </w:tcBorders>
            <w:noWrap/>
            <w:vAlign w:val="bottom"/>
          </w:tcPr>
          <w:p w:rsidR="00AE7D50" w:rsidRPr="00AD151D" w:rsidRDefault="00AE7D50">
            <w:pPr>
              <w:keepNext/>
              <w:keepLines/>
              <w:jc w:val="center"/>
            </w:pPr>
            <w:r w:rsidRPr="00AD151D">
              <w:t>2011</w:t>
            </w:r>
          </w:p>
        </w:tc>
        <w:tc>
          <w:tcPr>
            <w:tcW w:w="126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51,895</w:t>
            </w:r>
          </w:p>
        </w:tc>
        <w:tc>
          <w:tcPr>
            <w:tcW w:w="198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649</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105</w:t>
            </w:r>
          </w:p>
        </w:tc>
        <w:tc>
          <w:tcPr>
            <w:tcW w:w="1440" w:type="dxa"/>
            <w:tcBorders>
              <w:top w:val="single" w:sz="4" w:space="0" w:color="auto"/>
              <w:left w:val="nil"/>
              <w:bottom w:val="single" w:sz="4" w:space="0" w:color="auto"/>
              <w:right w:val="single" w:sz="4" w:space="0" w:color="auto"/>
            </w:tcBorders>
            <w:noWrap/>
            <w:vAlign w:val="bottom"/>
          </w:tcPr>
          <w:p w:rsidR="00AE7D50" w:rsidRPr="00AD151D" w:rsidRDefault="00AE7D50">
            <w:pPr>
              <w:keepNext/>
              <w:keepLines/>
              <w:jc w:val="center"/>
            </w:pPr>
            <w:r w:rsidRPr="00AD151D">
              <w:t>3</w:t>
            </w:r>
          </w:p>
        </w:tc>
      </w:tr>
    </w:tbl>
    <w:p w:rsidR="00AE7D50" w:rsidRPr="00AD151D" w:rsidRDefault="00AE7D50">
      <w:pPr>
        <w:keepNext/>
        <w:keepLines/>
        <w:rPr>
          <w:sz w:val="18"/>
          <w:szCs w:val="18"/>
        </w:rPr>
      </w:pPr>
      <w:r w:rsidRPr="00AD151D">
        <w:rPr>
          <w:sz w:val="18"/>
          <w:szCs w:val="18"/>
        </w:rPr>
        <w:t>Source: NQC lists from 2006 through 2011</w:t>
      </w:r>
    </w:p>
    <w:p w:rsidR="00AE7D50" w:rsidRPr="00277DC8" w:rsidRDefault="00AE7D50">
      <w:pPr>
        <w:pStyle w:val="Heading2"/>
        <w:numPr>
          <w:ilvl w:val="1"/>
          <w:numId w:val="18"/>
        </w:numPr>
        <w:spacing w:before="120"/>
        <w:rPr>
          <w:i w:val="0"/>
        </w:rPr>
      </w:pPr>
      <w:bookmarkStart w:id="90" w:name="_Toc223253257"/>
      <w:bookmarkStart w:id="91" w:name="_Toc223315669"/>
      <w:bookmarkStart w:id="92" w:name="_Toc224022443"/>
      <w:bookmarkStart w:id="93" w:name="_Toc347827054"/>
      <w:r w:rsidRPr="00277DC8">
        <w:rPr>
          <w:i w:val="0"/>
        </w:rPr>
        <w:t>Allocation of Import Capability for RA</w:t>
      </w:r>
      <w:bookmarkEnd w:id="90"/>
      <w:bookmarkEnd w:id="91"/>
      <w:bookmarkEnd w:id="92"/>
      <w:bookmarkEnd w:id="93"/>
    </w:p>
    <w:p w:rsidR="00AE7D50" w:rsidRPr="00AD151D" w:rsidRDefault="00AE7D50">
      <w:pPr>
        <w:widowControl w:val="0"/>
        <w:spacing w:before="120"/>
        <w:ind w:firstLine="720"/>
      </w:pPr>
      <w:r w:rsidRPr="00AD151D">
        <w:t>The CAISO allocates available import capacity to CPUC jurisdictional and non-CPUC jurisdictional LSEs annually to ensure that California is not relying on more imports than could be accommodated by the current transmission system.  The CPUC worked closely with the CAISO on the development of this process for use in the CPUC RA program.  The CAISO has a 13 step process in the CAISO tariff to perform this allocation.</w:t>
      </w:r>
      <w:r w:rsidRPr="00AD151D">
        <w:rPr>
          <w:rStyle w:val="FootnoteReference"/>
        </w:rPr>
        <w:footnoteReference w:id="28"/>
      </w:r>
      <w:r w:rsidRPr="00AD151D">
        <w:t xml:space="preserve">  The steps of the process are summarized in the CPUC RA Guide for 2011 and the results of selected steps are summarized in the table </w:t>
      </w:r>
      <w:r w:rsidR="00BB3463">
        <w:t>9</w:t>
      </w:r>
      <w:r w:rsidR="00820AE3" w:rsidRPr="00AD151D">
        <w:t xml:space="preserve"> </w:t>
      </w:r>
      <w:r w:rsidRPr="00AD151D">
        <w:t>below</w:t>
      </w:r>
      <w:r w:rsidR="00820AE3" w:rsidRPr="00AD151D">
        <w:t>.</w:t>
      </w:r>
    </w:p>
    <w:p w:rsidR="00AE7D50" w:rsidRPr="00AD151D" w:rsidRDefault="00AE7D50">
      <w:pPr>
        <w:pStyle w:val="Caption"/>
        <w:keepNext/>
        <w:keepLines/>
        <w:spacing w:before="120"/>
        <w:rPr>
          <w:sz w:val="22"/>
          <w:szCs w:val="22"/>
        </w:rPr>
      </w:pPr>
      <w:bookmarkStart w:id="94" w:name="_Toc347827079"/>
      <w:r w:rsidRPr="00AD151D">
        <w:lastRenderedPageBreak/>
        <w:t xml:space="preserve">Table </w:t>
      </w:r>
      <w:r w:rsidR="00B3535E">
        <w:fldChar w:fldCharType="begin"/>
      </w:r>
      <w:r w:rsidR="00B3535E">
        <w:instrText xml:space="preserve"> SEQ Table \* ARABIC </w:instrText>
      </w:r>
      <w:r w:rsidR="00B3535E">
        <w:fldChar w:fldCharType="separate"/>
      </w:r>
      <w:r w:rsidR="00B3535E">
        <w:rPr>
          <w:noProof/>
        </w:rPr>
        <w:t>9</w:t>
      </w:r>
      <w:r w:rsidR="00B3535E">
        <w:rPr>
          <w:noProof/>
        </w:rPr>
        <w:fldChar w:fldCharType="end"/>
      </w:r>
      <w:r w:rsidRPr="00AD151D">
        <w:t>.  2011 Import Allocations process (MW)</w:t>
      </w:r>
      <w:bookmarkEnd w:id="94"/>
    </w:p>
    <w:tbl>
      <w:tblPr>
        <w:tblW w:w="0" w:type="auto"/>
        <w:tblInd w:w="78" w:type="dxa"/>
        <w:tblLayout w:type="fixed"/>
        <w:tblLook w:val="0000" w:firstRow="0" w:lastRow="0" w:firstColumn="0" w:lastColumn="0" w:noHBand="0" w:noVBand="0"/>
      </w:tblPr>
      <w:tblGrid>
        <w:gridCol w:w="967"/>
        <w:gridCol w:w="6607"/>
        <w:gridCol w:w="838"/>
      </w:tblGrid>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color w:val="000000"/>
                <w:sz w:val="20"/>
                <w:szCs w:val="20"/>
              </w:rPr>
            </w:pPr>
            <w:r w:rsidRPr="00AD151D">
              <w:rPr>
                <w:rFonts w:ascii="Arial" w:hAnsi="Arial" w:cs="Arial"/>
                <w:b/>
                <w:bCs/>
                <w:color w:val="000000"/>
                <w:sz w:val="20"/>
                <w:szCs w:val="20"/>
              </w:rPr>
              <w:t>Step 1</w:t>
            </w: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Maximum Imports</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16956</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color w:val="000000"/>
                <w:sz w:val="20"/>
                <w:szCs w:val="20"/>
              </w:rPr>
            </w:pPr>
            <w:r w:rsidRPr="00AD151D">
              <w:rPr>
                <w:rFonts w:ascii="Arial" w:hAnsi="Arial" w:cs="Arial"/>
                <w:b/>
                <w:bCs/>
                <w:color w:val="000000"/>
                <w:sz w:val="20"/>
                <w:szCs w:val="20"/>
              </w:rPr>
              <w:t>Step 2</w:t>
            </w: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Available Import Capability (for loads in the control area)</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13573</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Calibri" w:hAnsi="Calibri" w:cs="Calibri"/>
                <w:b/>
                <w:color w:val="000000"/>
              </w:rPr>
            </w:pPr>
            <w:r w:rsidRPr="00AD151D">
              <w:rPr>
                <w:rFonts w:ascii="Calibri" w:hAnsi="Calibri" w:cs="Calibri"/>
                <w:b/>
                <w:color w:val="000000"/>
                <w:sz w:val="22"/>
                <w:szCs w:val="22"/>
              </w:rPr>
              <w:t>Step 4a</w:t>
            </w: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Total Pre-RA Import Commitments</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7311</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color w:val="000000"/>
                <w:sz w:val="20"/>
                <w:szCs w:val="20"/>
              </w:rPr>
            </w:pPr>
            <w:r w:rsidRPr="00AD151D">
              <w:rPr>
                <w:rFonts w:ascii="Arial" w:hAnsi="Arial" w:cs="Arial"/>
                <w:b/>
                <w:bCs/>
                <w:color w:val="000000"/>
                <w:sz w:val="20"/>
                <w:szCs w:val="20"/>
              </w:rPr>
              <w:t>Step 4</w:t>
            </w: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lang w:val="fr-FR"/>
              </w:rPr>
            </w:pPr>
            <w:r w:rsidRPr="00AD151D">
              <w:rPr>
                <w:rFonts w:ascii="Arial" w:hAnsi="Arial" w:cs="Arial"/>
                <w:b/>
                <w:bCs/>
                <w:color w:val="000000"/>
                <w:sz w:val="20"/>
                <w:szCs w:val="20"/>
                <w:lang w:val="fr-FR"/>
              </w:rPr>
              <w:t>Total Pre-RA Import Commitments &amp; ETC</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8891</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color w:val="000000"/>
                <w:sz w:val="20"/>
                <w:szCs w:val="20"/>
              </w:rPr>
            </w:pP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Remaining Import Capability after Step 4</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4682</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color w:val="000000"/>
                <w:sz w:val="20"/>
                <w:szCs w:val="20"/>
              </w:rPr>
            </w:pPr>
            <w:r w:rsidRPr="00AD151D">
              <w:rPr>
                <w:rFonts w:ascii="Arial" w:hAnsi="Arial" w:cs="Arial"/>
                <w:b/>
                <w:bCs/>
                <w:color w:val="000000"/>
                <w:sz w:val="20"/>
                <w:szCs w:val="20"/>
              </w:rPr>
              <w:t>Step 9</w:t>
            </w: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Assigned Remaining Import Capability during Step 9</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3304</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color w:val="000000"/>
                <w:sz w:val="20"/>
                <w:szCs w:val="20"/>
              </w:rPr>
            </w:pPr>
            <w:r w:rsidRPr="00AD151D">
              <w:rPr>
                <w:rFonts w:ascii="Arial" w:hAnsi="Arial" w:cs="Arial"/>
                <w:b/>
                <w:bCs/>
                <w:color w:val="000000"/>
                <w:sz w:val="20"/>
                <w:szCs w:val="20"/>
              </w:rPr>
              <w:t>Step 10</w:t>
            </w: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Available Import Capability after Step 9</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1378</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color w:val="000000"/>
                <w:sz w:val="20"/>
                <w:szCs w:val="20"/>
              </w:rPr>
            </w:pPr>
            <w:r w:rsidRPr="00AD151D">
              <w:rPr>
                <w:rFonts w:ascii="Arial" w:hAnsi="Arial" w:cs="Arial"/>
                <w:b/>
                <w:bCs/>
                <w:color w:val="000000"/>
                <w:sz w:val="20"/>
                <w:szCs w:val="20"/>
              </w:rPr>
              <w:t>Step 11</w:t>
            </w: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Assigned Remaining Import Capability during Step 11</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1052</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color w:val="000000"/>
                <w:sz w:val="20"/>
                <w:szCs w:val="20"/>
              </w:rPr>
            </w:pPr>
            <w:r w:rsidRPr="00AD151D">
              <w:rPr>
                <w:rFonts w:ascii="Arial" w:hAnsi="Arial" w:cs="Arial"/>
                <w:b/>
                <w:bCs/>
                <w:color w:val="000000"/>
                <w:sz w:val="20"/>
                <w:szCs w:val="20"/>
              </w:rPr>
              <w:t>Step 12</w:t>
            </w: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Available Import Capability after Step 11</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326</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color w:val="000000"/>
                <w:sz w:val="20"/>
                <w:szCs w:val="20"/>
              </w:rPr>
            </w:pPr>
            <w:r w:rsidRPr="00AD151D">
              <w:rPr>
                <w:rFonts w:ascii="Arial" w:hAnsi="Arial" w:cs="Arial"/>
                <w:b/>
                <w:bCs/>
                <w:color w:val="000000"/>
                <w:sz w:val="20"/>
                <w:szCs w:val="20"/>
              </w:rPr>
              <w:t>Step 13</w:t>
            </w: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Assigned Remaining Import Capability after Step 12</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320</w:t>
            </w:r>
          </w:p>
        </w:tc>
      </w:tr>
      <w:tr w:rsidR="00AE7D50" w:rsidRPr="00AD151D">
        <w:trPr>
          <w:trHeight w:val="290"/>
        </w:trPr>
        <w:tc>
          <w:tcPr>
            <w:tcW w:w="96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right"/>
              <w:rPr>
                <w:rFonts w:ascii="Arial" w:hAnsi="Arial" w:cs="Arial"/>
                <w:b/>
                <w:bCs/>
                <w:color w:val="000000"/>
                <w:sz w:val="20"/>
                <w:szCs w:val="20"/>
              </w:rPr>
            </w:pPr>
          </w:p>
        </w:tc>
        <w:tc>
          <w:tcPr>
            <w:tcW w:w="6607"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rPr>
                <w:rFonts w:ascii="Arial" w:hAnsi="Arial" w:cs="Arial"/>
                <w:b/>
                <w:bCs/>
                <w:color w:val="000000"/>
                <w:sz w:val="20"/>
                <w:szCs w:val="20"/>
              </w:rPr>
            </w:pPr>
            <w:r w:rsidRPr="00AD151D">
              <w:rPr>
                <w:rFonts w:ascii="Arial" w:hAnsi="Arial" w:cs="Arial"/>
                <w:b/>
                <w:bCs/>
                <w:color w:val="000000"/>
                <w:sz w:val="20"/>
                <w:szCs w:val="20"/>
              </w:rPr>
              <w:t>Available Import Capability after Step 13</w:t>
            </w:r>
          </w:p>
        </w:tc>
        <w:tc>
          <w:tcPr>
            <w:tcW w:w="838" w:type="dxa"/>
            <w:tcBorders>
              <w:top w:val="single" w:sz="6" w:space="0" w:color="auto"/>
              <w:left w:val="single" w:sz="6" w:space="0" w:color="auto"/>
              <w:bottom w:val="single" w:sz="6" w:space="0" w:color="auto"/>
              <w:right w:val="single" w:sz="6" w:space="0" w:color="auto"/>
            </w:tcBorders>
          </w:tcPr>
          <w:p w:rsidR="00AE7D50" w:rsidRPr="00AD151D" w:rsidRDefault="00AE7D50" w:rsidP="00A01172">
            <w:pPr>
              <w:keepNext/>
              <w:keepLines/>
              <w:autoSpaceDE w:val="0"/>
              <w:autoSpaceDN w:val="0"/>
              <w:adjustRightInd w:val="0"/>
              <w:spacing w:before="60" w:after="60"/>
              <w:jc w:val="center"/>
              <w:rPr>
                <w:rFonts w:ascii="Arial" w:hAnsi="Arial" w:cs="Arial"/>
                <w:b/>
                <w:bCs/>
                <w:sz w:val="20"/>
                <w:szCs w:val="20"/>
              </w:rPr>
            </w:pPr>
            <w:r w:rsidRPr="00AD151D">
              <w:rPr>
                <w:rFonts w:ascii="Arial" w:hAnsi="Arial" w:cs="Arial"/>
                <w:b/>
                <w:bCs/>
                <w:sz w:val="20"/>
                <w:szCs w:val="20"/>
              </w:rPr>
              <w:t>6</w:t>
            </w:r>
          </w:p>
        </w:tc>
      </w:tr>
    </w:tbl>
    <w:p w:rsidR="00AE7D50" w:rsidRPr="00AD151D" w:rsidRDefault="00AE7D50">
      <w:pPr>
        <w:keepNext/>
        <w:keepLines/>
        <w:spacing w:before="120"/>
        <w:rPr>
          <w:sz w:val="18"/>
          <w:szCs w:val="18"/>
        </w:rPr>
      </w:pPr>
      <w:r w:rsidRPr="00AD151D">
        <w:rPr>
          <w:sz w:val="18"/>
          <w:szCs w:val="18"/>
        </w:rPr>
        <w:t>Source:  Aggregate CAISO import allocations posted here</w:t>
      </w:r>
      <w:r w:rsidR="00467339" w:rsidRPr="00AD151D">
        <w:t xml:space="preserve"> </w:t>
      </w:r>
      <w:r w:rsidR="00467339" w:rsidRPr="00AD151D">
        <w:rPr>
          <w:sz w:val="18"/>
          <w:szCs w:val="18"/>
        </w:rPr>
        <w:t>http://www.caiso.com/Documents/2011AssignedandUnassignedRAImportCapabilityonBranchGroups-AfterStep6.pdf</w:t>
      </w:r>
    </w:p>
    <w:p w:rsidR="00AE7D50" w:rsidRPr="00AD151D" w:rsidRDefault="00AE7D50">
      <w:pPr>
        <w:widowControl w:val="0"/>
        <w:spacing w:before="120"/>
        <w:ind w:firstLine="720"/>
        <w:rPr>
          <w:b/>
          <w:u w:val="single"/>
        </w:rPr>
      </w:pPr>
      <w:r w:rsidRPr="00AD151D">
        <w:t xml:space="preserve">Throughout the summer of 2011, the CAISO allocated 13,573 MW out of 16,956 MW of import capacity to LSEs, </w:t>
      </w:r>
      <w:r w:rsidR="00BB3463">
        <w:t>and</w:t>
      </w:r>
      <w:r w:rsidR="00BB3463" w:rsidRPr="00AD151D">
        <w:t xml:space="preserve"> </w:t>
      </w:r>
      <w:r w:rsidRPr="00AD151D">
        <w:t xml:space="preserve">3,383 MW to Existing Transmission Contracts (ETCs) outside the CAISO control area.  </w:t>
      </w:r>
      <w:r w:rsidR="00F27FC0" w:rsidRPr="00AD151D">
        <w:fldChar w:fldCharType="begin"/>
      </w:r>
      <w:r w:rsidR="00F27FC0" w:rsidRPr="00AD151D">
        <w:instrText xml:space="preserve"> REF _Ref223944609 \h  \* MERGEFORMAT </w:instrText>
      </w:r>
      <w:r w:rsidR="00F27FC0" w:rsidRPr="00AD151D">
        <w:fldChar w:fldCharType="separate"/>
      </w:r>
      <w:r w:rsidR="00B3535E" w:rsidRPr="00B3535E">
        <w:t>Table 10</w:t>
      </w:r>
      <w:r w:rsidR="00F27FC0" w:rsidRPr="00AD151D">
        <w:fldChar w:fldCharType="end"/>
      </w:r>
      <w:r w:rsidRPr="00AD151D">
        <w:t xml:space="preserve"> below summarizes 2011 Import Allocations and the use of Import Allocations in RA filings.  All LSEs in CAISO reported between 3,560 and 6,150 MW of import capacity.  LSEs used between 40 and 69 percent of their total import allocations during the summer of 2011.  Imports represented between 8 and 11 percent of all RA capacity.</w:t>
      </w:r>
    </w:p>
    <w:p w:rsidR="00AE7D50" w:rsidRPr="00AD151D" w:rsidRDefault="00AE7D50" w:rsidP="00855F85">
      <w:pPr>
        <w:pStyle w:val="Caption"/>
        <w:keepNext/>
        <w:keepLines/>
        <w:spacing w:before="120"/>
        <w:rPr>
          <w:sz w:val="22"/>
          <w:szCs w:val="22"/>
        </w:rPr>
      </w:pPr>
      <w:bookmarkStart w:id="95" w:name="_Ref223944609"/>
      <w:bookmarkStart w:id="96" w:name="_Toc347827080"/>
      <w:r w:rsidRPr="00AD151D">
        <w:rPr>
          <w:sz w:val="22"/>
          <w:szCs w:val="22"/>
        </w:rPr>
        <w:t xml:space="preserve">Table </w:t>
      </w:r>
      <w:r w:rsidRPr="00AD151D">
        <w:rPr>
          <w:sz w:val="22"/>
          <w:szCs w:val="22"/>
        </w:rPr>
        <w:fldChar w:fldCharType="begin"/>
      </w:r>
      <w:r w:rsidRPr="00AD151D">
        <w:rPr>
          <w:sz w:val="22"/>
          <w:szCs w:val="22"/>
        </w:rPr>
        <w:instrText xml:space="preserve"> SEQ Table \* ARABIC </w:instrText>
      </w:r>
      <w:r w:rsidRPr="00AD151D">
        <w:rPr>
          <w:sz w:val="22"/>
          <w:szCs w:val="22"/>
        </w:rPr>
        <w:fldChar w:fldCharType="separate"/>
      </w:r>
      <w:r w:rsidR="00B3535E">
        <w:rPr>
          <w:noProof/>
          <w:sz w:val="22"/>
          <w:szCs w:val="22"/>
        </w:rPr>
        <w:t>10</w:t>
      </w:r>
      <w:r w:rsidRPr="00AD151D">
        <w:rPr>
          <w:sz w:val="22"/>
          <w:szCs w:val="22"/>
        </w:rPr>
        <w:fldChar w:fldCharType="end"/>
      </w:r>
      <w:bookmarkEnd w:id="95"/>
      <w:r w:rsidRPr="00AD151D">
        <w:rPr>
          <w:sz w:val="22"/>
          <w:szCs w:val="22"/>
        </w:rPr>
        <w:t>.  2011 Import Allocations and Usage (MW)</w:t>
      </w:r>
      <w:bookmarkEnd w:id="96"/>
    </w:p>
    <w:tbl>
      <w:tblPr>
        <w:tblW w:w="829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83"/>
        <w:gridCol w:w="3101"/>
        <w:gridCol w:w="880"/>
        <w:gridCol w:w="881"/>
        <w:gridCol w:w="881"/>
        <w:gridCol w:w="891"/>
        <w:gridCol w:w="1078"/>
      </w:tblGrid>
      <w:tr w:rsidR="00AE7D50" w:rsidRPr="00AD151D">
        <w:trPr>
          <w:trHeight w:val="285"/>
        </w:trPr>
        <w:tc>
          <w:tcPr>
            <w:tcW w:w="583" w:type="dxa"/>
            <w:noWrap/>
            <w:vAlign w:val="bottom"/>
          </w:tcPr>
          <w:p w:rsidR="00AE7D50" w:rsidRPr="00AD151D" w:rsidRDefault="00AE7D50">
            <w:pPr>
              <w:keepNext/>
              <w:keepLines/>
              <w:rPr>
                <w:sz w:val="20"/>
                <w:szCs w:val="20"/>
              </w:rPr>
            </w:pPr>
            <w:r w:rsidRPr="00AD151D">
              <w:rPr>
                <w:sz w:val="20"/>
                <w:szCs w:val="20"/>
              </w:rPr>
              <w:t>Line</w:t>
            </w:r>
          </w:p>
        </w:tc>
        <w:tc>
          <w:tcPr>
            <w:tcW w:w="3101" w:type="dxa"/>
          </w:tcPr>
          <w:p w:rsidR="00AE7D50" w:rsidRPr="00AD151D" w:rsidRDefault="00AE7D50">
            <w:pPr>
              <w:keepNext/>
              <w:keepLines/>
              <w:jc w:val="center"/>
              <w:rPr>
                <w:b/>
                <w:bCs/>
                <w:sz w:val="18"/>
                <w:szCs w:val="18"/>
              </w:rPr>
            </w:pPr>
            <w:r w:rsidRPr="00AD151D">
              <w:rPr>
                <w:b/>
                <w:bCs/>
                <w:sz w:val="18"/>
                <w:szCs w:val="18"/>
              </w:rPr>
              <w:t>Element</w:t>
            </w:r>
          </w:p>
        </w:tc>
        <w:tc>
          <w:tcPr>
            <w:tcW w:w="880" w:type="dxa"/>
          </w:tcPr>
          <w:p w:rsidR="00AE7D50" w:rsidRPr="00AD151D" w:rsidRDefault="00AE7D50">
            <w:pPr>
              <w:keepNext/>
              <w:keepLines/>
              <w:jc w:val="center"/>
              <w:rPr>
                <w:b/>
                <w:bCs/>
                <w:sz w:val="18"/>
                <w:szCs w:val="18"/>
              </w:rPr>
            </w:pPr>
            <w:r w:rsidRPr="00AD151D">
              <w:rPr>
                <w:b/>
                <w:bCs/>
                <w:sz w:val="18"/>
                <w:szCs w:val="18"/>
              </w:rPr>
              <w:t>May</w:t>
            </w:r>
          </w:p>
        </w:tc>
        <w:tc>
          <w:tcPr>
            <w:tcW w:w="881" w:type="dxa"/>
          </w:tcPr>
          <w:p w:rsidR="00AE7D50" w:rsidRPr="00AD151D" w:rsidRDefault="00AE7D50">
            <w:pPr>
              <w:keepNext/>
              <w:keepLines/>
              <w:jc w:val="center"/>
              <w:rPr>
                <w:b/>
                <w:bCs/>
                <w:sz w:val="18"/>
                <w:szCs w:val="18"/>
              </w:rPr>
            </w:pPr>
            <w:r w:rsidRPr="00AD151D">
              <w:rPr>
                <w:b/>
                <w:bCs/>
                <w:sz w:val="18"/>
                <w:szCs w:val="18"/>
              </w:rPr>
              <w:t>June</w:t>
            </w:r>
          </w:p>
        </w:tc>
        <w:tc>
          <w:tcPr>
            <w:tcW w:w="881" w:type="dxa"/>
          </w:tcPr>
          <w:p w:rsidR="00AE7D50" w:rsidRPr="00AD151D" w:rsidRDefault="00AE7D50">
            <w:pPr>
              <w:keepNext/>
              <w:keepLines/>
              <w:jc w:val="center"/>
              <w:rPr>
                <w:b/>
                <w:bCs/>
                <w:sz w:val="18"/>
                <w:szCs w:val="18"/>
              </w:rPr>
            </w:pPr>
            <w:r w:rsidRPr="00AD151D">
              <w:rPr>
                <w:b/>
                <w:bCs/>
                <w:sz w:val="18"/>
                <w:szCs w:val="18"/>
              </w:rPr>
              <w:t>July</w:t>
            </w:r>
          </w:p>
        </w:tc>
        <w:tc>
          <w:tcPr>
            <w:tcW w:w="891" w:type="dxa"/>
          </w:tcPr>
          <w:p w:rsidR="00AE7D50" w:rsidRPr="00AD151D" w:rsidRDefault="00AE7D50">
            <w:pPr>
              <w:keepNext/>
              <w:keepLines/>
              <w:jc w:val="center"/>
              <w:rPr>
                <w:b/>
                <w:bCs/>
                <w:sz w:val="18"/>
                <w:szCs w:val="18"/>
              </w:rPr>
            </w:pPr>
            <w:r w:rsidRPr="00AD151D">
              <w:rPr>
                <w:b/>
                <w:bCs/>
                <w:sz w:val="18"/>
                <w:szCs w:val="18"/>
              </w:rPr>
              <w:t>August</w:t>
            </w:r>
          </w:p>
        </w:tc>
        <w:tc>
          <w:tcPr>
            <w:tcW w:w="1078" w:type="dxa"/>
          </w:tcPr>
          <w:p w:rsidR="00AE7D50" w:rsidRPr="00AD151D" w:rsidRDefault="00AE7D50">
            <w:pPr>
              <w:keepNext/>
              <w:keepLines/>
              <w:jc w:val="center"/>
              <w:rPr>
                <w:b/>
                <w:bCs/>
                <w:sz w:val="18"/>
                <w:szCs w:val="18"/>
              </w:rPr>
            </w:pPr>
            <w:r w:rsidRPr="00AD151D">
              <w:rPr>
                <w:b/>
                <w:bCs/>
                <w:sz w:val="18"/>
                <w:szCs w:val="18"/>
              </w:rPr>
              <w:t>September</w:t>
            </w:r>
          </w:p>
        </w:tc>
      </w:tr>
      <w:tr w:rsidR="00AE7D50" w:rsidRPr="00AD151D">
        <w:trPr>
          <w:trHeight w:val="322"/>
        </w:trPr>
        <w:tc>
          <w:tcPr>
            <w:tcW w:w="583" w:type="dxa"/>
            <w:noWrap/>
            <w:vAlign w:val="bottom"/>
          </w:tcPr>
          <w:p w:rsidR="00AE7D50" w:rsidRPr="00AD151D" w:rsidRDefault="00AE7D50">
            <w:pPr>
              <w:keepNext/>
              <w:keepLines/>
              <w:jc w:val="right"/>
              <w:rPr>
                <w:sz w:val="20"/>
                <w:szCs w:val="20"/>
              </w:rPr>
            </w:pPr>
            <w:r w:rsidRPr="00AD151D">
              <w:rPr>
                <w:sz w:val="20"/>
                <w:szCs w:val="20"/>
              </w:rPr>
              <w:t>1</w:t>
            </w:r>
          </w:p>
        </w:tc>
        <w:tc>
          <w:tcPr>
            <w:tcW w:w="3101" w:type="dxa"/>
          </w:tcPr>
          <w:p w:rsidR="00AE7D50" w:rsidRPr="00AD151D" w:rsidRDefault="00AE7D50">
            <w:pPr>
              <w:keepNext/>
              <w:keepLines/>
              <w:rPr>
                <w:b/>
                <w:bCs/>
                <w:sz w:val="18"/>
                <w:szCs w:val="18"/>
              </w:rPr>
            </w:pPr>
            <w:r w:rsidRPr="00AD151D">
              <w:rPr>
                <w:b/>
                <w:bCs/>
                <w:sz w:val="18"/>
                <w:szCs w:val="18"/>
              </w:rPr>
              <w:t>Import Allocations provided to LSEs for use in RA filings</w:t>
            </w:r>
          </w:p>
        </w:tc>
        <w:tc>
          <w:tcPr>
            <w:tcW w:w="880" w:type="dxa"/>
          </w:tcPr>
          <w:p w:rsidR="00AE7D50" w:rsidRPr="00AD151D" w:rsidRDefault="00AE7D50" w:rsidP="00C83B76">
            <w:pPr>
              <w:keepNext/>
              <w:keepLines/>
              <w:spacing w:before="60" w:after="60"/>
              <w:jc w:val="center"/>
              <w:rPr>
                <w:sz w:val="18"/>
                <w:szCs w:val="18"/>
              </w:rPr>
            </w:pPr>
            <w:r w:rsidRPr="00AD151D">
              <w:rPr>
                <w:sz w:val="18"/>
                <w:szCs w:val="18"/>
              </w:rPr>
              <w:t>8,891</w:t>
            </w:r>
          </w:p>
        </w:tc>
        <w:tc>
          <w:tcPr>
            <w:tcW w:w="881" w:type="dxa"/>
          </w:tcPr>
          <w:p w:rsidR="00AE7D50" w:rsidRPr="00AD151D" w:rsidRDefault="00AE7D50" w:rsidP="00C83B76">
            <w:pPr>
              <w:keepNext/>
              <w:keepLines/>
              <w:spacing w:before="60" w:after="60"/>
              <w:jc w:val="center"/>
              <w:rPr>
                <w:sz w:val="18"/>
                <w:szCs w:val="18"/>
              </w:rPr>
            </w:pPr>
            <w:r w:rsidRPr="00AD151D">
              <w:rPr>
                <w:sz w:val="18"/>
                <w:szCs w:val="18"/>
              </w:rPr>
              <w:t>8,891</w:t>
            </w:r>
          </w:p>
        </w:tc>
        <w:tc>
          <w:tcPr>
            <w:tcW w:w="881" w:type="dxa"/>
          </w:tcPr>
          <w:p w:rsidR="00AE7D50" w:rsidRPr="00AD151D" w:rsidRDefault="00AE7D50" w:rsidP="00C83B76">
            <w:pPr>
              <w:keepNext/>
              <w:keepLines/>
              <w:spacing w:before="60" w:after="60"/>
              <w:jc w:val="center"/>
              <w:rPr>
                <w:sz w:val="18"/>
                <w:szCs w:val="18"/>
              </w:rPr>
            </w:pPr>
            <w:r w:rsidRPr="00AD151D">
              <w:rPr>
                <w:sz w:val="18"/>
                <w:szCs w:val="18"/>
              </w:rPr>
              <w:t>8,891</w:t>
            </w:r>
          </w:p>
        </w:tc>
        <w:tc>
          <w:tcPr>
            <w:tcW w:w="891" w:type="dxa"/>
          </w:tcPr>
          <w:p w:rsidR="00AE7D50" w:rsidRPr="00AD151D" w:rsidRDefault="00AE7D50" w:rsidP="00C83B76">
            <w:pPr>
              <w:keepNext/>
              <w:keepLines/>
              <w:spacing w:before="60" w:after="60"/>
              <w:jc w:val="center"/>
              <w:rPr>
                <w:sz w:val="18"/>
                <w:szCs w:val="18"/>
              </w:rPr>
            </w:pPr>
            <w:r w:rsidRPr="00AD151D">
              <w:rPr>
                <w:sz w:val="18"/>
                <w:szCs w:val="18"/>
              </w:rPr>
              <w:t>8,891</w:t>
            </w:r>
          </w:p>
        </w:tc>
        <w:tc>
          <w:tcPr>
            <w:tcW w:w="1078" w:type="dxa"/>
          </w:tcPr>
          <w:p w:rsidR="00AE7D50" w:rsidRPr="00AD151D" w:rsidRDefault="00AE7D50" w:rsidP="00C83B76">
            <w:pPr>
              <w:keepNext/>
              <w:keepLines/>
              <w:spacing w:before="60" w:after="60"/>
              <w:jc w:val="center"/>
              <w:rPr>
                <w:sz w:val="18"/>
                <w:szCs w:val="18"/>
              </w:rPr>
            </w:pPr>
            <w:r w:rsidRPr="00AD151D">
              <w:rPr>
                <w:sz w:val="18"/>
                <w:szCs w:val="18"/>
              </w:rPr>
              <w:t>8,891</w:t>
            </w:r>
          </w:p>
        </w:tc>
      </w:tr>
      <w:tr w:rsidR="00AE7D50" w:rsidRPr="00AD151D" w:rsidTr="00041870">
        <w:trPr>
          <w:trHeight w:val="331"/>
        </w:trPr>
        <w:tc>
          <w:tcPr>
            <w:tcW w:w="583" w:type="dxa"/>
            <w:noWrap/>
            <w:vAlign w:val="bottom"/>
          </w:tcPr>
          <w:p w:rsidR="00AE7D50" w:rsidRPr="00AD151D" w:rsidRDefault="00AE7D50">
            <w:pPr>
              <w:keepNext/>
              <w:keepLines/>
              <w:jc w:val="right"/>
              <w:rPr>
                <w:sz w:val="20"/>
                <w:szCs w:val="20"/>
              </w:rPr>
            </w:pPr>
            <w:r w:rsidRPr="00AD151D">
              <w:rPr>
                <w:sz w:val="20"/>
                <w:szCs w:val="20"/>
              </w:rPr>
              <w:t>2</w:t>
            </w:r>
          </w:p>
        </w:tc>
        <w:tc>
          <w:tcPr>
            <w:tcW w:w="3101" w:type="dxa"/>
          </w:tcPr>
          <w:p w:rsidR="00AE7D50" w:rsidRPr="00AD151D" w:rsidRDefault="00AE7D50">
            <w:pPr>
              <w:keepNext/>
              <w:keepLines/>
              <w:rPr>
                <w:b/>
                <w:bCs/>
                <w:sz w:val="18"/>
                <w:szCs w:val="18"/>
              </w:rPr>
            </w:pPr>
            <w:r w:rsidRPr="00AD151D">
              <w:rPr>
                <w:b/>
                <w:bCs/>
                <w:sz w:val="18"/>
                <w:szCs w:val="18"/>
              </w:rPr>
              <w:t>Imports shown by CPUC jurisdictional LSEs</w:t>
            </w:r>
          </w:p>
        </w:tc>
        <w:tc>
          <w:tcPr>
            <w:tcW w:w="880" w:type="dxa"/>
            <w:vAlign w:val="bottom"/>
          </w:tcPr>
          <w:p w:rsidR="00AE7D50" w:rsidRPr="00AD151D" w:rsidRDefault="00AE7D50" w:rsidP="00C83B76">
            <w:pPr>
              <w:spacing w:before="60" w:after="60"/>
              <w:jc w:val="center"/>
              <w:rPr>
                <w:color w:val="000000"/>
                <w:sz w:val="18"/>
                <w:szCs w:val="18"/>
              </w:rPr>
            </w:pPr>
            <w:r w:rsidRPr="00AD151D">
              <w:rPr>
                <w:color w:val="000000"/>
                <w:sz w:val="18"/>
                <w:szCs w:val="18"/>
              </w:rPr>
              <w:t>2,674</w:t>
            </w:r>
          </w:p>
        </w:tc>
        <w:tc>
          <w:tcPr>
            <w:tcW w:w="881" w:type="dxa"/>
            <w:vAlign w:val="bottom"/>
          </w:tcPr>
          <w:p w:rsidR="00AE7D50" w:rsidRPr="00AD151D" w:rsidRDefault="00AE7D50" w:rsidP="00C83B76">
            <w:pPr>
              <w:spacing w:before="60" w:after="60"/>
              <w:jc w:val="center"/>
              <w:rPr>
                <w:color w:val="000000"/>
                <w:sz w:val="18"/>
                <w:szCs w:val="18"/>
              </w:rPr>
            </w:pPr>
            <w:r w:rsidRPr="00AD151D">
              <w:rPr>
                <w:color w:val="000000"/>
                <w:sz w:val="18"/>
                <w:szCs w:val="18"/>
              </w:rPr>
              <w:t>2,830</w:t>
            </w:r>
          </w:p>
        </w:tc>
        <w:tc>
          <w:tcPr>
            <w:tcW w:w="881" w:type="dxa"/>
            <w:vAlign w:val="bottom"/>
          </w:tcPr>
          <w:p w:rsidR="00AE7D50" w:rsidRPr="00AD151D" w:rsidRDefault="00AE7D50" w:rsidP="00C83B76">
            <w:pPr>
              <w:spacing w:before="60" w:after="60"/>
              <w:jc w:val="center"/>
              <w:rPr>
                <w:color w:val="000000"/>
                <w:sz w:val="18"/>
                <w:szCs w:val="18"/>
              </w:rPr>
            </w:pPr>
            <w:r w:rsidRPr="00AD151D">
              <w:rPr>
                <w:color w:val="000000"/>
                <w:sz w:val="18"/>
                <w:szCs w:val="18"/>
              </w:rPr>
              <w:t>3,979</w:t>
            </w:r>
          </w:p>
        </w:tc>
        <w:tc>
          <w:tcPr>
            <w:tcW w:w="891" w:type="dxa"/>
            <w:vAlign w:val="bottom"/>
          </w:tcPr>
          <w:p w:rsidR="00AE7D50" w:rsidRPr="00AD151D" w:rsidRDefault="00AE7D50" w:rsidP="00C83B76">
            <w:pPr>
              <w:spacing w:before="60" w:after="60"/>
              <w:jc w:val="center"/>
              <w:rPr>
                <w:color w:val="000000"/>
                <w:sz w:val="18"/>
                <w:szCs w:val="18"/>
              </w:rPr>
            </w:pPr>
            <w:r w:rsidRPr="00AD151D">
              <w:rPr>
                <w:color w:val="000000"/>
                <w:sz w:val="18"/>
                <w:szCs w:val="18"/>
              </w:rPr>
              <w:t>5,119</w:t>
            </w:r>
          </w:p>
        </w:tc>
        <w:tc>
          <w:tcPr>
            <w:tcW w:w="1078" w:type="dxa"/>
            <w:vAlign w:val="bottom"/>
          </w:tcPr>
          <w:p w:rsidR="00AE7D50" w:rsidRPr="00AD151D" w:rsidRDefault="00AE7D50" w:rsidP="00C83B76">
            <w:pPr>
              <w:spacing w:before="60" w:after="60"/>
              <w:jc w:val="center"/>
              <w:rPr>
                <w:color w:val="000000"/>
                <w:sz w:val="18"/>
                <w:szCs w:val="18"/>
              </w:rPr>
            </w:pPr>
            <w:r w:rsidRPr="00AD151D">
              <w:rPr>
                <w:color w:val="000000"/>
                <w:sz w:val="18"/>
                <w:szCs w:val="18"/>
              </w:rPr>
              <w:t>4,489</w:t>
            </w:r>
          </w:p>
        </w:tc>
      </w:tr>
      <w:tr w:rsidR="00AE7D50" w:rsidRPr="00AD151D">
        <w:trPr>
          <w:trHeight w:val="349"/>
        </w:trPr>
        <w:tc>
          <w:tcPr>
            <w:tcW w:w="583" w:type="dxa"/>
            <w:noWrap/>
            <w:vAlign w:val="bottom"/>
          </w:tcPr>
          <w:p w:rsidR="00AE7D50" w:rsidRPr="00AD151D" w:rsidRDefault="00AE7D50">
            <w:pPr>
              <w:keepNext/>
              <w:keepLines/>
              <w:jc w:val="right"/>
              <w:rPr>
                <w:sz w:val="20"/>
                <w:szCs w:val="20"/>
              </w:rPr>
            </w:pPr>
            <w:r w:rsidRPr="00AD151D">
              <w:rPr>
                <w:sz w:val="20"/>
                <w:szCs w:val="20"/>
              </w:rPr>
              <w:t>3</w:t>
            </w:r>
          </w:p>
        </w:tc>
        <w:tc>
          <w:tcPr>
            <w:tcW w:w="3101" w:type="dxa"/>
          </w:tcPr>
          <w:p w:rsidR="00AE7D50" w:rsidRPr="00AD151D" w:rsidRDefault="00AE7D50">
            <w:pPr>
              <w:keepNext/>
              <w:keepLines/>
              <w:rPr>
                <w:b/>
                <w:bCs/>
                <w:sz w:val="18"/>
                <w:szCs w:val="18"/>
              </w:rPr>
            </w:pPr>
            <w:r w:rsidRPr="00AD151D">
              <w:rPr>
                <w:b/>
                <w:bCs/>
                <w:sz w:val="18"/>
                <w:szCs w:val="18"/>
              </w:rPr>
              <w:t>Imports shown by non-CPUC jurisdictional LSEs</w:t>
            </w:r>
          </w:p>
        </w:tc>
        <w:tc>
          <w:tcPr>
            <w:tcW w:w="880" w:type="dxa"/>
          </w:tcPr>
          <w:p w:rsidR="00AE7D50" w:rsidRPr="00AD151D" w:rsidRDefault="00AE7D50" w:rsidP="00C83B76">
            <w:pPr>
              <w:spacing w:before="60" w:after="60"/>
              <w:jc w:val="center"/>
              <w:rPr>
                <w:sz w:val="18"/>
                <w:szCs w:val="18"/>
              </w:rPr>
            </w:pPr>
            <w:r w:rsidRPr="00AD151D">
              <w:rPr>
                <w:sz w:val="18"/>
                <w:szCs w:val="18"/>
              </w:rPr>
              <w:t>886</w:t>
            </w:r>
          </w:p>
          <w:p w:rsidR="00AE7D50" w:rsidRPr="00AD151D" w:rsidRDefault="00AE7D50" w:rsidP="00C83B76">
            <w:pPr>
              <w:keepNext/>
              <w:keepLines/>
              <w:spacing w:before="60" w:after="60"/>
              <w:jc w:val="center"/>
              <w:rPr>
                <w:sz w:val="18"/>
                <w:szCs w:val="18"/>
              </w:rPr>
            </w:pPr>
          </w:p>
        </w:tc>
        <w:tc>
          <w:tcPr>
            <w:tcW w:w="881" w:type="dxa"/>
          </w:tcPr>
          <w:p w:rsidR="00AE7D50" w:rsidRPr="00AD151D" w:rsidRDefault="00AE7D50" w:rsidP="00C83B76">
            <w:pPr>
              <w:keepNext/>
              <w:keepLines/>
              <w:spacing w:before="60" w:after="60"/>
              <w:jc w:val="center"/>
              <w:rPr>
                <w:sz w:val="18"/>
                <w:szCs w:val="18"/>
              </w:rPr>
            </w:pPr>
            <w:r w:rsidRPr="00AD151D">
              <w:rPr>
                <w:sz w:val="18"/>
                <w:szCs w:val="18"/>
              </w:rPr>
              <w:t>966</w:t>
            </w:r>
          </w:p>
        </w:tc>
        <w:tc>
          <w:tcPr>
            <w:tcW w:w="881" w:type="dxa"/>
          </w:tcPr>
          <w:p w:rsidR="00AE7D50" w:rsidRPr="00AD151D" w:rsidRDefault="00AE7D50" w:rsidP="00C83B76">
            <w:pPr>
              <w:keepNext/>
              <w:keepLines/>
              <w:spacing w:before="60" w:after="60"/>
              <w:jc w:val="center"/>
              <w:rPr>
                <w:sz w:val="18"/>
                <w:szCs w:val="18"/>
              </w:rPr>
            </w:pPr>
            <w:r w:rsidRPr="00AD151D">
              <w:rPr>
                <w:sz w:val="18"/>
                <w:szCs w:val="18"/>
              </w:rPr>
              <w:t>1,045</w:t>
            </w:r>
          </w:p>
        </w:tc>
        <w:tc>
          <w:tcPr>
            <w:tcW w:w="891" w:type="dxa"/>
          </w:tcPr>
          <w:p w:rsidR="00AE7D50" w:rsidRPr="00AD151D" w:rsidRDefault="00AE7D50" w:rsidP="00C83B76">
            <w:pPr>
              <w:keepNext/>
              <w:keepLines/>
              <w:spacing w:before="60" w:after="60"/>
              <w:jc w:val="center"/>
              <w:rPr>
                <w:sz w:val="18"/>
                <w:szCs w:val="18"/>
              </w:rPr>
            </w:pPr>
            <w:r w:rsidRPr="00AD151D">
              <w:rPr>
                <w:sz w:val="18"/>
                <w:szCs w:val="18"/>
              </w:rPr>
              <w:t>1,031</w:t>
            </w:r>
          </w:p>
        </w:tc>
        <w:tc>
          <w:tcPr>
            <w:tcW w:w="1078" w:type="dxa"/>
          </w:tcPr>
          <w:p w:rsidR="00AE7D50" w:rsidRPr="00AD151D" w:rsidRDefault="00AE7D50" w:rsidP="00C83B76">
            <w:pPr>
              <w:keepNext/>
              <w:keepLines/>
              <w:spacing w:before="60" w:after="60"/>
              <w:jc w:val="center"/>
              <w:rPr>
                <w:sz w:val="18"/>
                <w:szCs w:val="18"/>
              </w:rPr>
            </w:pPr>
            <w:r w:rsidRPr="00AD151D">
              <w:rPr>
                <w:sz w:val="18"/>
                <w:szCs w:val="18"/>
              </w:rPr>
              <w:t>1,059</w:t>
            </w:r>
          </w:p>
        </w:tc>
      </w:tr>
      <w:tr w:rsidR="00AE7D50" w:rsidRPr="00AD151D" w:rsidTr="00855F85">
        <w:trPr>
          <w:trHeight w:val="97"/>
        </w:trPr>
        <w:tc>
          <w:tcPr>
            <w:tcW w:w="583" w:type="dxa"/>
            <w:noWrap/>
            <w:vAlign w:val="bottom"/>
          </w:tcPr>
          <w:p w:rsidR="00AE7D50" w:rsidRPr="00AD151D" w:rsidRDefault="00AE7D50">
            <w:pPr>
              <w:keepNext/>
              <w:keepLines/>
              <w:jc w:val="right"/>
              <w:rPr>
                <w:sz w:val="20"/>
                <w:szCs w:val="20"/>
              </w:rPr>
            </w:pPr>
            <w:r w:rsidRPr="00AD151D">
              <w:rPr>
                <w:sz w:val="20"/>
                <w:szCs w:val="20"/>
              </w:rPr>
              <w:t>4</w:t>
            </w:r>
          </w:p>
        </w:tc>
        <w:tc>
          <w:tcPr>
            <w:tcW w:w="3101" w:type="dxa"/>
          </w:tcPr>
          <w:p w:rsidR="00AE7D50" w:rsidRPr="00AD151D" w:rsidRDefault="00AE7D50">
            <w:pPr>
              <w:keepNext/>
              <w:keepLines/>
              <w:rPr>
                <w:b/>
                <w:bCs/>
                <w:sz w:val="18"/>
                <w:szCs w:val="18"/>
              </w:rPr>
            </w:pPr>
            <w:r w:rsidRPr="00AD151D">
              <w:rPr>
                <w:b/>
                <w:bCs/>
                <w:sz w:val="18"/>
                <w:szCs w:val="18"/>
              </w:rPr>
              <w:t>Total Imports shown</w:t>
            </w:r>
          </w:p>
        </w:tc>
        <w:tc>
          <w:tcPr>
            <w:tcW w:w="880" w:type="dxa"/>
            <w:vAlign w:val="center"/>
          </w:tcPr>
          <w:p w:rsidR="00AE7D50" w:rsidRPr="00AD151D" w:rsidRDefault="00AE7D50" w:rsidP="00C83B76">
            <w:pPr>
              <w:spacing w:before="60" w:after="60"/>
              <w:jc w:val="center"/>
              <w:rPr>
                <w:sz w:val="18"/>
                <w:szCs w:val="18"/>
              </w:rPr>
            </w:pPr>
            <w:r w:rsidRPr="00AD151D">
              <w:rPr>
                <w:sz w:val="18"/>
                <w:szCs w:val="18"/>
              </w:rPr>
              <w:t>3,560</w:t>
            </w:r>
          </w:p>
        </w:tc>
        <w:tc>
          <w:tcPr>
            <w:tcW w:w="881" w:type="dxa"/>
            <w:vAlign w:val="center"/>
          </w:tcPr>
          <w:p w:rsidR="00AE7D50" w:rsidRPr="00AD151D" w:rsidRDefault="00AE7D50" w:rsidP="00C83B76">
            <w:pPr>
              <w:spacing w:before="60" w:after="60"/>
              <w:jc w:val="center"/>
              <w:rPr>
                <w:sz w:val="18"/>
                <w:szCs w:val="18"/>
              </w:rPr>
            </w:pPr>
            <w:r w:rsidRPr="00AD151D">
              <w:rPr>
                <w:sz w:val="18"/>
                <w:szCs w:val="18"/>
              </w:rPr>
              <w:t>3,796</w:t>
            </w:r>
          </w:p>
        </w:tc>
        <w:tc>
          <w:tcPr>
            <w:tcW w:w="881" w:type="dxa"/>
            <w:vAlign w:val="center"/>
          </w:tcPr>
          <w:p w:rsidR="00AE7D50" w:rsidRPr="00AD151D" w:rsidRDefault="00AE7D50" w:rsidP="00C83B76">
            <w:pPr>
              <w:spacing w:before="60" w:after="60"/>
              <w:jc w:val="center"/>
              <w:rPr>
                <w:sz w:val="18"/>
                <w:szCs w:val="18"/>
              </w:rPr>
            </w:pPr>
            <w:r w:rsidRPr="00AD151D">
              <w:rPr>
                <w:sz w:val="18"/>
                <w:szCs w:val="18"/>
              </w:rPr>
              <w:t>5,024</w:t>
            </w:r>
          </w:p>
        </w:tc>
        <w:tc>
          <w:tcPr>
            <w:tcW w:w="891" w:type="dxa"/>
            <w:vAlign w:val="center"/>
          </w:tcPr>
          <w:p w:rsidR="00AE7D50" w:rsidRPr="00AD151D" w:rsidRDefault="00AE7D50" w:rsidP="00C83B76">
            <w:pPr>
              <w:spacing w:before="60" w:after="60"/>
              <w:jc w:val="center"/>
              <w:rPr>
                <w:sz w:val="18"/>
                <w:szCs w:val="18"/>
              </w:rPr>
            </w:pPr>
            <w:r w:rsidRPr="00AD151D">
              <w:rPr>
                <w:sz w:val="18"/>
                <w:szCs w:val="18"/>
              </w:rPr>
              <w:t>6,150</w:t>
            </w:r>
          </w:p>
        </w:tc>
        <w:tc>
          <w:tcPr>
            <w:tcW w:w="1078" w:type="dxa"/>
            <w:vAlign w:val="center"/>
          </w:tcPr>
          <w:p w:rsidR="00AE7D50" w:rsidRPr="00AD151D" w:rsidRDefault="00AE7D50" w:rsidP="00C83B76">
            <w:pPr>
              <w:spacing w:before="60" w:after="60"/>
              <w:jc w:val="center"/>
              <w:rPr>
                <w:sz w:val="18"/>
                <w:szCs w:val="18"/>
              </w:rPr>
            </w:pPr>
            <w:r w:rsidRPr="00AD151D">
              <w:rPr>
                <w:sz w:val="18"/>
                <w:szCs w:val="18"/>
              </w:rPr>
              <w:t>5,548</w:t>
            </w:r>
          </w:p>
        </w:tc>
      </w:tr>
      <w:tr w:rsidR="00AE7D50" w:rsidRPr="00AD151D" w:rsidTr="00855F85">
        <w:trPr>
          <w:trHeight w:val="205"/>
        </w:trPr>
        <w:tc>
          <w:tcPr>
            <w:tcW w:w="583" w:type="dxa"/>
            <w:noWrap/>
            <w:vAlign w:val="bottom"/>
          </w:tcPr>
          <w:p w:rsidR="00AE7D50" w:rsidRPr="00AD151D" w:rsidRDefault="00AE7D50">
            <w:pPr>
              <w:keepNext/>
              <w:keepLines/>
              <w:jc w:val="right"/>
              <w:rPr>
                <w:sz w:val="20"/>
                <w:szCs w:val="20"/>
              </w:rPr>
            </w:pPr>
            <w:r w:rsidRPr="00AD151D">
              <w:rPr>
                <w:sz w:val="20"/>
                <w:szCs w:val="20"/>
              </w:rPr>
              <w:t>5</w:t>
            </w:r>
          </w:p>
        </w:tc>
        <w:tc>
          <w:tcPr>
            <w:tcW w:w="3101" w:type="dxa"/>
          </w:tcPr>
          <w:p w:rsidR="00AE7D50" w:rsidRPr="00AD151D" w:rsidRDefault="00AE7D50">
            <w:pPr>
              <w:keepNext/>
              <w:keepLines/>
              <w:rPr>
                <w:b/>
                <w:bCs/>
                <w:sz w:val="18"/>
                <w:szCs w:val="18"/>
              </w:rPr>
            </w:pPr>
            <w:r w:rsidRPr="00AD151D">
              <w:rPr>
                <w:b/>
                <w:bCs/>
                <w:sz w:val="18"/>
                <w:szCs w:val="18"/>
              </w:rPr>
              <w:t>Percentage used of allocated (line 4/Line 1)</w:t>
            </w:r>
          </w:p>
        </w:tc>
        <w:tc>
          <w:tcPr>
            <w:tcW w:w="880" w:type="dxa"/>
            <w:vAlign w:val="center"/>
          </w:tcPr>
          <w:p w:rsidR="00AE7D50" w:rsidRPr="00AD151D" w:rsidRDefault="00AE7D50" w:rsidP="00C83B76">
            <w:pPr>
              <w:spacing w:before="60" w:after="60"/>
              <w:jc w:val="center"/>
              <w:rPr>
                <w:sz w:val="18"/>
                <w:szCs w:val="18"/>
              </w:rPr>
            </w:pPr>
            <w:r w:rsidRPr="00AD151D">
              <w:rPr>
                <w:sz w:val="18"/>
                <w:szCs w:val="18"/>
              </w:rPr>
              <w:t>40%</w:t>
            </w:r>
          </w:p>
        </w:tc>
        <w:tc>
          <w:tcPr>
            <w:tcW w:w="881" w:type="dxa"/>
            <w:vAlign w:val="center"/>
          </w:tcPr>
          <w:p w:rsidR="00AE7D50" w:rsidRPr="00AD151D" w:rsidRDefault="00AE7D50" w:rsidP="00C83B76">
            <w:pPr>
              <w:spacing w:before="60" w:after="60"/>
              <w:jc w:val="center"/>
              <w:rPr>
                <w:sz w:val="18"/>
                <w:szCs w:val="18"/>
              </w:rPr>
            </w:pPr>
            <w:r w:rsidRPr="00AD151D">
              <w:rPr>
                <w:sz w:val="18"/>
                <w:szCs w:val="18"/>
              </w:rPr>
              <w:t>43%</w:t>
            </w:r>
          </w:p>
        </w:tc>
        <w:tc>
          <w:tcPr>
            <w:tcW w:w="881" w:type="dxa"/>
            <w:vAlign w:val="center"/>
          </w:tcPr>
          <w:p w:rsidR="00AE7D50" w:rsidRPr="00AD151D" w:rsidRDefault="00AE7D50" w:rsidP="00C83B76">
            <w:pPr>
              <w:spacing w:before="60" w:after="60"/>
              <w:jc w:val="center"/>
              <w:rPr>
                <w:sz w:val="18"/>
                <w:szCs w:val="18"/>
              </w:rPr>
            </w:pPr>
            <w:r w:rsidRPr="00AD151D">
              <w:rPr>
                <w:sz w:val="18"/>
                <w:szCs w:val="18"/>
              </w:rPr>
              <w:t>57%</w:t>
            </w:r>
          </w:p>
        </w:tc>
        <w:tc>
          <w:tcPr>
            <w:tcW w:w="891" w:type="dxa"/>
            <w:vAlign w:val="center"/>
          </w:tcPr>
          <w:p w:rsidR="00AE7D50" w:rsidRPr="00AD151D" w:rsidRDefault="00AE7D50" w:rsidP="00C83B76">
            <w:pPr>
              <w:spacing w:before="60" w:after="60"/>
              <w:jc w:val="center"/>
              <w:rPr>
                <w:sz w:val="18"/>
                <w:szCs w:val="18"/>
              </w:rPr>
            </w:pPr>
            <w:r w:rsidRPr="00AD151D">
              <w:rPr>
                <w:sz w:val="18"/>
                <w:szCs w:val="18"/>
              </w:rPr>
              <w:t>69%</w:t>
            </w:r>
          </w:p>
        </w:tc>
        <w:tc>
          <w:tcPr>
            <w:tcW w:w="1078" w:type="dxa"/>
            <w:vAlign w:val="center"/>
          </w:tcPr>
          <w:p w:rsidR="00AE7D50" w:rsidRPr="00AD151D" w:rsidRDefault="00AE7D50" w:rsidP="00C83B76">
            <w:pPr>
              <w:spacing w:before="60" w:after="60"/>
              <w:jc w:val="center"/>
              <w:rPr>
                <w:sz w:val="18"/>
                <w:szCs w:val="18"/>
              </w:rPr>
            </w:pPr>
            <w:r w:rsidRPr="00AD151D">
              <w:rPr>
                <w:sz w:val="18"/>
                <w:szCs w:val="18"/>
              </w:rPr>
              <w:t>62%</w:t>
            </w:r>
          </w:p>
        </w:tc>
      </w:tr>
    </w:tbl>
    <w:p w:rsidR="00AE7D50" w:rsidRPr="00AD151D" w:rsidRDefault="00AE7D50">
      <w:pPr>
        <w:keepNext/>
        <w:keepLines/>
        <w:rPr>
          <w:sz w:val="18"/>
          <w:szCs w:val="18"/>
        </w:rPr>
      </w:pPr>
      <w:r w:rsidRPr="00AD151D">
        <w:rPr>
          <w:sz w:val="18"/>
          <w:szCs w:val="18"/>
        </w:rPr>
        <w:t>Source: Import Allocation information posted on the CAISO website as well as aggregate RA filing information</w:t>
      </w:r>
    </w:p>
    <w:p w:rsidR="00AE7D50" w:rsidRPr="00AD151D" w:rsidRDefault="00AE7D50">
      <w:pPr>
        <w:pStyle w:val="Heading1"/>
        <w:numPr>
          <w:ilvl w:val="0"/>
          <w:numId w:val="18"/>
        </w:numPr>
      </w:pPr>
      <w:bookmarkStart w:id="97" w:name="_Toc223253259"/>
      <w:bookmarkStart w:id="98" w:name="_Toc223315671"/>
      <w:bookmarkStart w:id="99" w:name="_Toc224022445"/>
      <w:bookmarkStart w:id="100" w:name="_Toc258573776"/>
      <w:bookmarkStart w:id="101" w:name="_Toc347827055"/>
      <w:r w:rsidRPr="00AD151D">
        <w:t>Commitment, Dispatch, and Pricing of RA Resources</w:t>
      </w:r>
      <w:bookmarkEnd w:id="101"/>
    </w:p>
    <w:p w:rsidR="00AE7D50" w:rsidRPr="00AD151D" w:rsidRDefault="00AE7D50">
      <w:pPr>
        <w:spacing w:before="120"/>
        <w:ind w:firstLine="432"/>
      </w:pPr>
      <w:r w:rsidRPr="00AD151D">
        <w:t xml:space="preserve">Since the implementation of MRTU, the mechanism of CAISO commitment has changed significantly.  Whereas before, CAISO would issue a must offer waiver denial, now the CAISO utilizes </w:t>
      </w:r>
      <w:r w:rsidR="00BB3463">
        <w:t>market commitment</w:t>
      </w:r>
      <w:r w:rsidRPr="00AD151D">
        <w:t xml:space="preserve"> mechanisms, such as </w:t>
      </w:r>
      <w:r w:rsidR="00D92824">
        <w:t>Day Ahead, Real Time Market</w:t>
      </w:r>
      <w:r w:rsidR="00BB3463">
        <w:t xml:space="preserve">, </w:t>
      </w:r>
      <w:r w:rsidR="00D92824">
        <w:t xml:space="preserve">and </w:t>
      </w:r>
      <w:r w:rsidR="00BB3463">
        <w:t xml:space="preserve">Residual Unit Commitment (RUC).  </w:t>
      </w:r>
      <w:r w:rsidR="00B07EDA">
        <w:t>During 2011, t</w:t>
      </w:r>
      <w:r w:rsidRPr="00AD151D">
        <w:t>he CAISO</w:t>
      </w:r>
      <w:r w:rsidR="00BB3463">
        <w:t xml:space="preserve"> also </w:t>
      </w:r>
      <w:r w:rsidR="00B414BC">
        <w:t>relie</w:t>
      </w:r>
      <w:r w:rsidR="00B07EDA">
        <w:t>d</w:t>
      </w:r>
      <w:r w:rsidR="00BB3463">
        <w:t xml:space="preserve"> on out-of-market</w:t>
      </w:r>
      <w:r w:rsidRPr="00AD151D">
        <w:t xml:space="preserve"> commitments </w:t>
      </w:r>
      <w:r w:rsidR="00BB3463">
        <w:t xml:space="preserve">(e.g. </w:t>
      </w:r>
      <w:r w:rsidR="00BB3463" w:rsidRPr="00AD151D">
        <w:t>ExD, Interim Capacity Procurement Mechanism (ICPM) and Reliability Must Run (RMR) contracts</w:t>
      </w:r>
      <w:r w:rsidR="00BB3463">
        <w:t>), which</w:t>
      </w:r>
      <w:r w:rsidR="00BB3463" w:rsidRPr="00AD151D">
        <w:t xml:space="preserve"> </w:t>
      </w:r>
      <w:r w:rsidRPr="00AD151D">
        <w:t>illustrate</w:t>
      </w:r>
      <w:r w:rsidR="00B07EDA">
        <w:t>d</w:t>
      </w:r>
      <w:r w:rsidRPr="00AD151D">
        <w:t xml:space="preserve"> reliability needs that </w:t>
      </w:r>
      <w:r w:rsidR="00B07EDA">
        <w:t>could not</w:t>
      </w:r>
      <w:r w:rsidRPr="00AD151D">
        <w:t xml:space="preserve"> be satisfied by </w:t>
      </w:r>
      <w:r w:rsidR="00BB3463">
        <w:t xml:space="preserve">the  Day Ahead, Real Time and RUC </w:t>
      </w:r>
      <w:r w:rsidRPr="00AD151D">
        <w:t xml:space="preserve">market mechanisms.  </w:t>
      </w:r>
      <w:r w:rsidR="00703C2C">
        <w:lastRenderedPageBreak/>
        <w:t>O</w:t>
      </w:r>
      <w:r w:rsidRPr="00AD151D">
        <w:t>ut</w:t>
      </w:r>
      <w:r w:rsidR="00703C2C">
        <w:t>-</w:t>
      </w:r>
      <w:r w:rsidRPr="00AD151D">
        <w:t>of</w:t>
      </w:r>
      <w:r w:rsidR="00703C2C">
        <w:t>-</w:t>
      </w:r>
      <w:r w:rsidRPr="00AD151D">
        <w:t xml:space="preserve">market commitments declined substantially since before MRTU, </w:t>
      </w:r>
      <w:r w:rsidR="00703C2C">
        <w:t xml:space="preserve">as well as </w:t>
      </w:r>
      <w:r w:rsidRPr="00AD151D">
        <w:t xml:space="preserve"> since the implementation of MRTU.  </w:t>
      </w:r>
    </w:p>
    <w:p w:rsidR="00AE7D50" w:rsidRPr="00AD151D" w:rsidRDefault="00703C2C">
      <w:pPr>
        <w:spacing w:before="120"/>
        <w:ind w:firstLine="432"/>
      </w:pPr>
      <w:r>
        <w:t xml:space="preserve">The RA program requires </w:t>
      </w:r>
      <w:r w:rsidR="00AE7D50" w:rsidRPr="00AD151D">
        <w:t xml:space="preserve">LSEs </w:t>
      </w:r>
      <w:r>
        <w:t xml:space="preserve">to enter into </w:t>
      </w:r>
      <w:r w:rsidR="00AE7D50" w:rsidRPr="00AD151D">
        <w:t>bilateral contracts with generating facilities</w:t>
      </w:r>
      <w:r>
        <w:t xml:space="preserve">.  These contracts carry a must offer obligation in order to meet the RA </w:t>
      </w:r>
      <w:r w:rsidR="00B414BC">
        <w:t>obligation</w:t>
      </w:r>
      <w:r>
        <w:t xml:space="preserve">.  The must offer obligation requires that these resources </w:t>
      </w:r>
      <w:r w:rsidR="00AE7D50" w:rsidRPr="00AD151D">
        <w:t xml:space="preserve">submit </w:t>
      </w:r>
      <w:r>
        <w:t xml:space="preserve">self-schedules or bids into the CAISO markets that make these </w:t>
      </w:r>
      <w:r w:rsidR="00B414BC">
        <w:t>resources</w:t>
      </w:r>
      <w:r>
        <w:t xml:space="preserve"> available for dispatch. P</w:t>
      </w:r>
      <w:r w:rsidR="00AE7D50" w:rsidRPr="00AD151D">
        <w:t>rice</w:t>
      </w:r>
      <w:r>
        <w:t>s</w:t>
      </w:r>
      <w:r w:rsidR="00AE7D50" w:rsidRPr="00AD151D">
        <w:t xml:space="preserve"> of  bilateral contracts c</w:t>
      </w:r>
      <w:r>
        <w:t>ould</w:t>
      </w:r>
      <w:r w:rsidR="00AE7D50" w:rsidRPr="00AD151D">
        <w:t xml:space="preserve"> vary substantially </w:t>
      </w:r>
      <w:r>
        <w:t xml:space="preserve">depending on unit location, </w:t>
      </w:r>
      <w:r w:rsidR="00AE7D50" w:rsidRPr="00AD151D">
        <w:t xml:space="preserve"> transmission constrain</w:t>
      </w:r>
      <w:r>
        <w:t>ts and/</w:t>
      </w:r>
      <w:r w:rsidR="00AE7D50" w:rsidRPr="00AD151D">
        <w:t>or the unit</w:t>
      </w:r>
      <w:r>
        <w:t>’s</w:t>
      </w:r>
      <w:r w:rsidR="00AE7D50" w:rsidRPr="00AD151D">
        <w:t xml:space="preserve"> ab</w:t>
      </w:r>
      <w:r>
        <w:t>i</w:t>
      </w:r>
      <w:r w:rsidR="00AE7D50" w:rsidRPr="00AD151D">
        <w:t>l</w:t>
      </w:r>
      <w:r>
        <w:t>ity</w:t>
      </w:r>
      <w:r w:rsidR="00AE7D50" w:rsidRPr="00AD151D">
        <w:t xml:space="preserve"> to exercise market power.</w:t>
      </w:r>
    </w:p>
    <w:p w:rsidR="00AE7D50" w:rsidRPr="00277DC8" w:rsidRDefault="00AE7D50">
      <w:pPr>
        <w:pStyle w:val="Heading2"/>
        <w:numPr>
          <w:ilvl w:val="1"/>
          <w:numId w:val="18"/>
        </w:numPr>
        <w:spacing w:before="120"/>
        <w:rPr>
          <w:i w:val="0"/>
        </w:rPr>
      </w:pPr>
      <w:bookmarkStart w:id="102" w:name="_Toc347827056"/>
      <w:r w:rsidRPr="00277DC8">
        <w:rPr>
          <w:i w:val="0"/>
        </w:rPr>
        <w:t xml:space="preserve">Trends in </w:t>
      </w:r>
      <w:r w:rsidR="00A01172" w:rsidRPr="00277DC8">
        <w:rPr>
          <w:i w:val="0"/>
        </w:rPr>
        <w:t>Exceptional Dispatch by MWh volume</w:t>
      </w:r>
      <w:bookmarkEnd w:id="102"/>
      <w:r w:rsidRPr="00277DC8">
        <w:rPr>
          <w:i w:val="0"/>
        </w:rPr>
        <w:t xml:space="preserve"> </w:t>
      </w:r>
    </w:p>
    <w:p w:rsidR="00AE7D50" w:rsidRPr="00AD151D" w:rsidRDefault="00AE7D50">
      <w:pPr>
        <w:spacing w:before="120"/>
        <w:ind w:firstLine="576"/>
      </w:pPr>
      <w:r w:rsidRPr="00AD151D">
        <w:t>Since the implementation of MRTU in April 2009, the CAISO has managed a Day Ahead (DA</w:t>
      </w:r>
      <w:r w:rsidR="00703C2C">
        <w:t>M</w:t>
      </w:r>
      <w:r w:rsidRPr="00AD151D">
        <w:t xml:space="preserve">) and </w:t>
      </w:r>
      <w:r w:rsidR="00703C2C">
        <w:t>R</w:t>
      </w:r>
      <w:r w:rsidRPr="00AD151D">
        <w:t xml:space="preserve">eal </w:t>
      </w:r>
      <w:r w:rsidR="00703C2C">
        <w:t>T</w:t>
      </w:r>
      <w:r w:rsidRPr="00AD151D">
        <w:t xml:space="preserve">ime </w:t>
      </w:r>
      <w:r w:rsidR="00703C2C">
        <w:t xml:space="preserve">(RTM) </w:t>
      </w:r>
      <w:r w:rsidRPr="00AD151D">
        <w:t xml:space="preserve">market.  These markets attempt to produce optimized results, but there are sometimes reasons for the CAISO to commit resources outside of </w:t>
      </w:r>
      <w:r w:rsidR="00420594">
        <w:t xml:space="preserve">these </w:t>
      </w:r>
      <w:r w:rsidRPr="00AD151D">
        <w:t>market</w:t>
      </w:r>
      <w:r w:rsidR="00420594">
        <w:t>s</w:t>
      </w:r>
      <w:r w:rsidRPr="00AD151D">
        <w:t xml:space="preserve">.  </w:t>
      </w:r>
      <w:r w:rsidR="00420594">
        <w:t xml:space="preserve"> </w:t>
      </w:r>
      <w:r w:rsidRPr="00AD151D">
        <w:t xml:space="preserve">ExD </w:t>
      </w:r>
      <w:r w:rsidR="00420594">
        <w:t xml:space="preserve">usually </w:t>
      </w:r>
      <w:r w:rsidRPr="00AD151D">
        <w:t>is where individual resources are managed manually or via dispatch instructions not arising directly from market</w:t>
      </w:r>
      <w:r w:rsidR="00D92824">
        <w:t xml:space="preserve"> dispatch</w:t>
      </w:r>
      <w:r w:rsidRPr="00AD151D">
        <w:t>.  An examination of the DA</w:t>
      </w:r>
      <w:r w:rsidR="00420594">
        <w:t>M</w:t>
      </w:r>
      <w:r w:rsidRPr="00AD151D">
        <w:t xml:space="preserve"> and RT</w:t>
      </w:r>
      <w:r w:rsidR="00420594">
        <w:t>M</w:t>
      </w:r>
      <w:r w:rsidRPr="00AD151D">
        <w:t xml:space="preserve"> is included in CAISO Annual and Monthly Market Performance Reports</w:t>
      </w:r>
      <w:r w:rsidRPr="00AD151D">
        <w:rPr>
          <w:rStyle w:val="FootnoteReference"/>
        </w:rPr>
        <w:footnoteReference w:id="29"/>
      </w:r>
      <w:r w:rsidR="00420594">
        <w:t xml:space="preserve">. </w:t>
      </w:r>
      <w:r w:rsidRPr="00AD151D">
        <w:t>Energy Division also conducts analysis of ExD</w:t>
      </w:r>
      <w:r w:rsidR="00420594">
        <w:t xml:space="preserve"> based on CAISO published data</w:t>
      </w:r>
      <w:r w:rsidRPr="00AD151D">
        <w:t>.  Included in this section is analysis of ExD in the DA market to highlight trends in MW</w:t>
      </w:r>
      <w:r w:rsidR="0030217F" w:rsidRPr="00AD151D">
        <w:t>h</w:t>
      </w:r>
      <w:r w:rsidRPr="00AD151D">
        <w:t xml:space="preserve"> volume across Local Area</w:t>
      </w:r>
      <w:r w:rsidR="00420594">
        <w:t>, by</w:t>
      </w:r>
      <w:r w:rsidR="0030217F" w:rsidRPr="00AD151D">
        <w:t xml:space="preserve"> </w:t>
      </w:r>
      <w:r w:rsidRPr="00AD151D">
        <w:t xml:space="preserve">reason code, </w:t>
      </w:r>
      <w:r w:rsidR="00420594">
        <w:t xml:space="preserve">and </w:t>
      </w:r>
      <w:r w:rsidR="0030217F" w:rsidRPr="00AD151D">
        <w:t>across months of 2010 and 2011.</w:t>
      </w:r>
      <w:r w:rsidRPr="00AD151D">
        <w:t xml:space="preserve">  </w:t>
      </w:r>
    </w:p>
    <w:p w:rsidR="00A9171A" w:rsidRPr="00AD151D" w:rsidRDefault="00AE7D50" w:rsidP="0030217F">
      <w:pPr>
        <w:spacing w:before="120"/>
        <w:ind w:firstLine="576"/>
      </w:pPr>
      <w:r w:rsidRPr="00AD151D">
        <w:t xml:space="preserve">Energy Division staff took data </w:t>
      </w:r>
      <w:r w:rsidR="0030217F" w:rsidRPr="00AD151D">
        <w:t xml:space="preserve">from the </w:t>
      </w:r>
      <w:r w:rsidR="00DF536B">
        <w:t>ExD</w:t>
      </w:r>
      <w:r w:rsidR="0030217F" w:rsidRPr="00AD151D">
        <w:t xml:space="preserve"> reports posted to the CAISO website</w:t>
      </w:r>
      <w:r w:rsidRPr="00AD151D">
        <w:t>.</w:t>
      </w:r>
      <w:r w:rsidR="0030217F" w:rsidRPr="00AD151D">
        <w:rPr>
          <w:rStyle w:val="FootnoteReference"/>
        </w:rPr>
        <w:footnoteReference w:id="30"/>
      </w:r>
      <w:r w:rsidRPr="00AD151D">
        <w:t xml:space="preserve">  </w:t>
      </w:r>
      <w:r w:rsidR="0030217F" w:rsidRPr="00AD151D">
        <w:t xml:space="preserve">With this information, </w:t>
      </w:r>
      <w:r w:rsidRPr="00AD151D">
        <w:t xml:space="preserve">Energy Division staff </w:t>
      </w:r>
      <w:r w:rsidR="0030217F" w:rsidRPr="00AD151D">
        <w:t xml:space="preserve">aggregated ExD across a set of categories and summed by month and year across causes and Local Areas.  CPM and RMR designations are not included in this analysis, although ExD is the </w:t>
      </w:r>
      <w:r w:rsidR="00420594">
        <w:t xml:space="preserve">triggering </w:t>
      </w:r>
      <w:r w:rsidR="0030217F" w:rsidRPr="00AD151D">
        <w:t xml:space="preserve">mechanism for a CPM designation.  There have not been any CPM designations unrelated to ExD </w:t>
      </w:r>
      <w:r w:rsidR="00D92824">
        <w:t xml:space="preserve">except </w:t>
      </w:r>
      <w:r w:rsidR="00420594">
        <w:t xml:space="preserve">the </w:t>
      </w:r>
      <w:r w:rsidR="0030217F" w:rsidRPr="00AD151D">
        <w:t xml:space="preserve">outage on San Onofre during the middle of 2012.  </w:t>
      </w:r>
      <w:r w:rsidR="00AD0D06" w:rsidRPr="00AD151D">
        <w:t>There will be greater analysis of ExD related to the outage on San Onofre in the 2012 RA report.</w:t>
      </w:r>
      <w:r w:rsidRPr="00AD151D">
        <w:t xml:space="preserve">   </w:t>
      </w:r>
    </w:p>
    <w:p w:rsidR="00A9171A" w:rsidRPr="00AD151D" w:rsidRDefault="00B07EDA" w:rsidP="00F669D6">
      <w:pPr>
        <w:spacing w:before="120" w:after="120"/>
        <w:ind w:firstLine="576"/>
      </w:pPr>
      <w:r>
        <w:fldChar w:fldCharType="begin"/>
      </w:r>
      <w:r>
        <w:instrText xml:space="preserve"> REF _Ref347484504 \h </w:instrText>
      </w:r>
      <w:r>
        <w:fldChar w:fldCharType="separate"/>
      </w:r>
      <w:r w:rsidR="00B3535E" w:rsidRPr="00AD151D">
        <w:t xml:space="preserve">Table </w:t>
      </w:r>
      <w:r w:rsidR="00B3535E">
        <w:rPr>
          <w:noProof/>
        </w:rPr>
        <w:t>11</w:t>
      </w:r>
      <w:r>
        <w:fldChar w:fldCharType="end"/>
      </w:r>
      <w:r w:rsidR="00A9171A" w:rsidRPr="00AD151D">
        <w:t xml:space="preserve">correlates the reasons listed in the CAISO’s ExD reports with the categories Energy Division used for the reason analysis.  These categories in large part overlap with categories the CAISO uses to analyze ExD in the monthly Market Performance reports, although Energy Division breaks </w:t>
      </w:r>
      <w:r w:rsidR="00420594">
        <w:t xml:space="preserve">the information </w:t>
      </w:r>
      <w:r w:rsidR="00A9171A" w:rsidRPr="00AD151D">
        <w:t>down into more categories.  Some</w:t>
      </w:r>
      <w:r w:rsidR="00BB2D00">
        <w:t xml:space="preserve"> Energy Division</w:t>
      </w:r>
      <w:r w:rsidR="00A9171A" w:rsidRPr="00AD151D">
        <w:t xml:space="preserve"> </w:t>
      </w:r>
      <w:r w:rsidR="00420594">
        <w:t xml:space="preserve">categories </w:t>
      </w:r>
      <w:r w:rsidR="00A9171A" w:rsidRPr="00AD151D">
        <w:t>are labeled differently</w:t>
      </w:r>
      <w:r w:rsidR="00BB2D00">
        <w:t xml:space="preserve"> than those used by the CAISO</w:t>
      </w:r>
      <w:r w:rsidR="00A9171A" w:rsidRPr="00AD151D">
        <w:t>,</w:t>
      </w:r>
      <w:r w:rsidR="00420594">
        <w:t xml:space="preserve"> and may</w:t>
      </w:r>
      <w:r w:rsidR="00A9171A" w:rsidRPr="00AD151D">
        <w:t xml:space="preserve"> </w:t>
      </w:r>
      <w:r w:rsidR="00B414BC" w:rsidRPr="00AD151D">
        <w:t>reflect</w:t>
      </w:r>
      <w:r w:rsidR="00A9171A" w:rsidRPr="00AD151D">
        <w:t xml:space="preserve"> a different grouping.  For example, in large part the category called Ramp Rate that the CAISO uses correspond to the Dispatchability category used by Energy Division.  Energy Division uses the term dispatchability to reflect the grouping of ramp rate with other </w:t>
      </w:r>
      <w:r w:rsidR="00431899" w:rsidRPr="00AD151D">
        <w:t>dispatch related reasons.</w:t>
      </w:r>
    </w:p>
    <w:p w:rsidR="00431899" w:rsidRPr="00AD151D" w:rsidRDefault="00431899" w:rsidP="00586B1F">
      <w:pPr>
        <w:pStyle w:val="Caption"/>
        <w:keepNext/>
        <w:keepLines/>
        <w:spacing w:before="120" w:after="120"/>
      </w:pPr>
      <w:bookmarkStart w:id="103" w:name="_Ref347484504"/>
      <w:bookmarkStart w:id="104" w:name="_Toc347827081"/>
      <w:r w:rsidRPr="00AD151D">
        <w:lastRenderedPageBreak/>
        <w:t xml:space="preserve">Table </w:t>
      </w:r>
      <w:r w:rsidR="00B3535E">
        <w:fldChar w:fldCharType="begin"/>
      </w:r>
      <w:r w:rsidR="00B3535E">
        <w:instrText xml:space="preserve"> SEQ Table \* ARABIC </w:instrText>
      </w:r>
      <w:r w:rsidR="00B3535E">
        <w:fldChar w:fldCharType="separate"/>
      </w:r>
      <w:r w:rsidR="00B3535E">
        <w:rPr>
          <w:noProof/>
        </w:rPr>
        <w:t>11</w:t>
      </w:r>
      <w:r w:rsidR="00B3535E">
        <w:rPr>
          <w:noProof/>
        </w:rPr>
        <w:fldChar w:fldCharType="end"/>
      </w:r>
      <w:bookmarkEnd w:id="103"/>
      <w:r w:rsidRPr="00AD151D">
        <w:t xml:space="preserve"> ExD Reason Codes Correlated Into Categories for Analysis</w:t>
      </w:r>
      <w:bookmarkEnd w:id="104"/>
    </w:p>
    <w:tbl>
      <w:tblPr>
        <w:tblW w:w="7500" w:type="dxa"/>
        <w:tblInd w:w="93" w:type="dxa"/>
        <w:tblLook w:val="04A0" w:firstRow="1" w:lastRow="0" w:firstColumn="1" w:lastColumn="0" w:noHBand="0" w:noVBand="1"/>
      </w:tblPr>
      <w:tblGrid>
        <w:gridCol w:w="5020"/>
        <w:gridCol w:w="2480"/>
      </w:tblGrid>
      <w:tr w:rsidR="00A9171A" w:rsidRPr="00AD151D" w:rsidTr="00F669D6">
        <w:trPr>
          <w:trHeight w:val="575"/>
        </w:trPr>
        <w:tc>
          <w:tcPr>
            <w:tcW w:w="5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71A" w:rsidRPr="00AD151D" w:rsidRDefault="00A9171A" w:rsidP="00586B1F">
            <w:pPr>
              <w:keepNext/>
              <w:keepLines/>
              <w:rPr>
                <w:rFonts w:ascii="Calibri" w:hAnsi="Calibri"/>
                <w:b/>
                <w:color w:val="000000"/>
                <w:sz w:val="22"/>
                <w:szCs w:val="22"/>
              </w:rPr>
            </w:pPr>
            <w:r w:rsidRPr="00AD151D">
              <w:rPr>
                <w:rFonts w:ascii="Calibri" w:hAnsi="Calibri"/>
                <w:b/>
                <w:color w:val="000000"/>
                <w:sz w:val="22"/>
                <w:szCs w:val="22"/>
              </w:rPr>
              <w:t>Specific reason in ExD reports</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A9171A" w:rsidRPr="00AD151D" w:rsidRDefault="00A9171A" w:rsidP="00586B1F">
            <w:pPr>
              <w:keepNext/>
              <w:keepLines/>
              <w:rPr>
                <w:rFonts w:ascii="Calibri" w:hAnsi="Calibri"/>
                <w:b/>
                <w:color w:val="000000"/>
                <w:sz w:val="22"/>
                <w:szCs w:val="22"/>
              </w:rPr>
            </w:pPr>
            <w:r w:rsidRPr="00AD151D">
              <w:rPr>
                <w:rFonts w:ascii="Calibri" w:hAnsi="Calibri"/>
                <w:b/>
                <w:color w:val="000000"/>
                <w:sz w:val="22"/>
                <w:szCs w:val="22"/>
              </w:rPr>
              <w:t xml:space="preserve">Energy Division </w:t>
            </w:r>
            <w:r w:rsidR="00C83B76" w:rsidRPr="00AD151D">
              <w:rPr>
                <w:rFonts w:ascii="Calibri" w:hAnsi="Calibri"/>
                <w:b/>
                <w:color w:val="000000"/>
                <w:sz w:val="22"/>
                <w:szCs w:val="22"/>
              </w:rPr>
              <w:t>C</w:t>
            </w:r>
            <w:r w:rsidRPr="00AD151D">
              <w:rPr>
                <w:rFonts w:ascii="Calibri" w:hAnsi="Calibri"/>
                <w:b/>
                <w:color w:val="000000"/>
                <w:sz w:val="22"/>
                <w:szCs w:val="22"/>
              </w:rPr>
              <w:t xml:space="preserve">ategory for </w:t>
            </w:r>
            <w:r w:rsidR="00C83B76" w:rsidRPr="00AD151D">
              <w:rPr>
                <w:rFonts w:ascii="Calibri" w:hAnsi="Calibri"/>
                <w:b/>
                <w:color w:val="000000"/>
                <w:sz w:val="22"/>
                <w:szCs w:val="22"/>
              </w:rPr>
              <w:t>A</w:t>
            </w:r>
            <w:r w:rsidRPr="00AD151D">
              <w:rPr>
                <w:rFonts w:ascii="Calibri" w:hAnsi="Calibri"/>
                <w:b/>
                <w:color w:val="000000"/>
                <w:sz w:val="22"/>
                <w:szCs w:val="22"/>
              </w:rPr>
              <w:t>nalysis</w:t>
            </w:r>
          </w:p>
        </w:tc>
      </w:tr>
      <w:tr w:rsidR="00A9171A" w:rsidRPr="00AD151D" w:rsidTr="00A9171A">
        <w:trPr>
          <w:trHeight w:val="84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 xml:space="preserve">Failed </w:t>
            </w:r>
            <w:r w:rsidR="00601290">
              <w:rPr>
                <w:color w:val="000000"/>
                <w:sz w:val="22"/>
                <w:szCs w:val="22"/>
              </w:rPr>
              <w:t>t</w:t>
            </w:r>
            <w:r w:rsidRPr="005E5CC1">
              <w:rPr>
                <w:color w:val="000000"/>
                <w:sz w:val="22"/>
                <w:szCs w:val="22"/>
              </w:rPr>
              <w:t>elemetry, Telemetry error, software limitation, software error, software issue, bad transition, bridging schedules, suspect modeling issue</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Software Limitation</w:t>
            </w:r>
          </w:p>
        </w:tc>
      </w:tr>
      <w:tr w:rsidR="00A9171A" w:rsidRPr="00AD151D" w:rsidTr="00A9171A">
        <w:trPr>
          <w:trHeight w:val="6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Dispatch</w:t>
            </w:r>
            <w:r w:rsidR="00E657F3" w:rsidRPr="005E5CC1">
              <w:rPr>
                <w:color w:val="000000"/>
                <w:sz w:val="22"/>
                <w:szCs w:val="22"/>
              </w:rPr>
              <w:t>ability</w:t>
            </w:r>
            <w:r w:rsidRPr="005E5CC1">
              <w:rPr>
                <w:color w:val="000000"/>
                <w:sz w:val="22"/>
                <w:szCs w:val="22"/>
              </w:rPr>
              <w:t xml:space="preserve">, </w:t>
            </w:r>
            <w:r w:rsidR="00E657F3" w:rsidRPr="005E5CC1">
              <w:rPr>
                <w:color w:val="000000"/>
                <w:sz w:val="22"/>
                <w:szCs w:val="22"/>
              </w:rPr>
              <w:t>Dispatchable</w:t>
            </w:r>
            <w:r w:rsidRPr="005E5CC1">
              <w:rPr>
                <w:color w:val="000000"/>
                <w:sz w:val="22"/>
                <w:szCs w:val="22"/>
              </w:rPr>
              <w:t>, ramp rate, Unit Control, Dispatch Modification</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Dispatchability</w:t>
            </w:r>
          </w:p>
        </w:tc>
      </w:tr>
      <w:tr w:rsidR="00A9171A" w:rsidRPr="00AD151D" w:rsidTr="00A9171A">
        <w:trPr>
          <w:trHeight w:val="6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Load forecast uncertainty, forecast error, forecast margin uncertainty</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Forecast uncertainty</w:t>
            </w:r>
          </w:p>
        </w:tc>
      </w:tr>
      <w:tr w:rsidR="00A9171A" w:rsidRPr="00AD151D" w:rsidTr="00A9171A">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All T codes</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Transmission procedure</w:t>
            </w:r>
          </w:p>
        </w:tc>
      </w:tr>
      <w:tr w:rsidR="00A9171A" w:rsidRPr="00AD151D" w:rsidTr="00A9171A">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All G codes</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Generation procedure</w:t>
            </w:r>
          </w:p>
        </w:tc>
      </w:tr>
      <w:tr w:rsidR="00A9171A" w:rsidRPr="00AD151D" w:rsidTr="00A9171A">
        <w:trPr>
          <w:trHeight w:val="1133"/>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COI Limitation, COI Mitigation, COI overload, PACI Scheduling Rights, all Path Mitigation, Congestion Mitigation, DC Circulation. SP26 mitigation, Intertie Block, Thermal Margin</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Transmission mitigation</w:t>
            </w:r>
          </w:p>
        </w:tc>
      </w:tr>
      <w:tr w:rsidR="00A9171A" w:rsidRPr="00AD151D" w:rsidTr="00A9171A">
        <w:trPr>
          <w:trHeight w:val="791"/>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MSG unit startup, peaker management, pump management, fast start unit management, ELC Commitment</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Generation unit startup and management</w:t>
            </w:r>
          </w:p>
        </w:tc>
      </w:tr>
      <w:tr w:rsidR="00A9171A" w:rsidRPr="00AD151D" w:rsidTr="00A9171A">
        <w:trPr>
          <w:trHeight w:val="593"/>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System Reliability, System Capacity, SP26 Capacity, NP 26 Capacity, System Energy, System Restoration</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System Reliability</w:t>
            </w:r>
          </w:p>
        </w:tc>
      </w:tr>
      <w:tr w:rsidR="00A9171A" w:rsidRPr="00AD151D" w:rsidTr="00A9171A">
        <w:trPr>
          <w:trHeight w:val="809"/>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Generation outage, SLIC Derate, Transmission outage, Transmission outage SCE, Transmission outage PG&amp;E, etc.</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Generation/Transmission outage</w:t>
            </w:r>
          </w:p>
        </w:tc>
      </w:tr>
      <w:tr w:rsidR="00A9171A" w:rsidRPr="00AD151D" w:rsidTr="00A9171A">
        <w:trPr>
          <w:trHeight w:val="88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SDG&amp;E Import, SDG&amp;E Imports, SDG&amp;E Import Limits, SDG&amp;E Generation Requirement, SCE Imports, PG&amp;E Import Limit</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Zonal import limits</w:t>
            </w:r>
          </w:p>
        </w:tc>
      </w:tr>
      <w:tr w:rsidR="00A9171A" w:rsidRPr="00AD151D" w:rsidTr="00A9171A">
        <w:trPr>
          <w:trHeight w:val="6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SDG&amp;E Gas Shortage, Fuel Curtailment, Fuel Shortage, Fuel supply outage</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Fuel Shortage or Curtailment</w:t>
            </w:r>
          </w:p>
        </w:tc>
      </w:tr>
      <w:tr w:rsidR="00A9171A" w:rsidRPr="00AD151D" w:rsidTr="00095495">
        <w:trPr>
          <w:trHeight w:val="1457"/>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9171A" w:rsidRPr="005E5CC1" w:rsidRDefault="00A9171A" w:rsidP="00586B1F">
            <w:pPr>
              <w:keepNext/>
              <w:keepLines/>
              <w:rPr>
                <w:color w:val="000000"/>
                <w:sz w:val="22"/>
                <w:szCs w:val="22"/>
              </w:rPr>
            </w:pPr>
            <w:r w:rsidRPr="005E5CC1">
              <w:rPr>
                <w:color w:val="000000"/>
                <w:sz w:val="22"/>
                <w:szCs w:val="22"/>
              </w:rPr>
              <w:t>Market Disruption, SC or customer request, Intertie Emergency Assistance, Over Gen</w:t>
            </w:r>
            <w:r w:rsidR="00431899" w:rsidRPr="005E5CC1">
              <w:rPr>
                <w:color w:val="000000"/>
                <w:sz w:val="22"/>
                <w:szCs w:val="22"/>
              </w:rPr>
              <w:t>e</w:t>
            </w:r>
            <w:r w:rsidRPr="005E5CC1">
              <w:rPr>
                <w:color w:val="000000"/>
                <w:sz w:val="22"/>
                <w:szCs w:val="22"/>
              </w:rPr>
              <w:t>ration, Voltage Control, Voltage Support, Regain ACE, Risk Prediction, Stranded AS, Wrong Start time, Contingency, Missing Bids, Infeasible Day Ahead Schedule, Fuel Shortage or Curtailment</w:t>
            </w:r>
          </w:p>
        </w:tc>
        <w:tc>
          <w:tcPr>
            <w:tcW w:w="2480" w:type="dxa"/>
            <w:tcBorders>
              <w:top w:val="nil"/>
              <w:left w:val="nil"/>
              <w:bottom w:val="single" w:sz="4" w:space="0" w:color="auto"/>
              <w:right w:val="single" w:sz="4" w:space="0" w:color="auto"/>
            </w:tcBorders>
            <w:shd w:val="clear" w:color="auto" w:fill="auto"/>
            <w:vAlign w:val="bottom"/>
            <w:hideMark/>
          </w:tcPr>
          <w:p w:rsidR="00A9171A" w:rsidRPr="005E5CC1" w:rsidRDefault="00A9171A" w:rsidP="00586B1F">
            <w:pPr>
              <w:keepNext/>
              <w:keepLines/>
              <w:spacing w:after="120"/>
              <w:rPr>
                <w:color w:val="000000"/>
                <w:sz w:val="22"/>
                <w:szCs w:val="22"/>
              </w:rPr>
            </w:pPr>
            <w:r w:rsidRPr="005E5CC1">
              <w:rPr>
                <w:color w:val="000000"/>
                <w:sz w:val="22"/>
                <w:szCs w:val="22"/>
              </w:rPr>
              <w:t>Other</w:t>
            </w:r>
          </w:p>
        </w:tc>
      </w:tr>
    </w:tbl>
    <w:p w:rsidR="00431899" w:rsidRPr="00AD151D" w:rsidRDefault="00431899" w:rsidP="00586B1F">
      <w:pPr>
        <w:keepNext/>
        <w:keepLines/>
        <w:spacing w:before="120"/>
        <w:rPr>
          <w:sz w:val="20"/>
          <w:szCs w:val="20"/>
        </w:rPr>
      </w:pPr>
      <w:r w:rsidRPr="00AD151D">
        <w:rPr>
          <w:sz w:val="20"/>
          <w:szCs w:val="20"/>
        </w:rPr>
        <w:t xml:space="preserve">Source: </w:t>
      </w:r>
      <w:r w:rsidR="00DF536B">
        <w:rPr>
          <w:sz w:val="20"/>
          <w:szCs w:val="20"/>
        </w:rPr>
        <w:t>ExD</w:t>
      </w:r>
      <w:r w:rsidRPr="00AD151D">
        <w:rPr>
          <w:sz w:val="20"/>
          <w:szCs w:val="20"/>
        </w:rPr>
        <w:t xml:space="preserve"> reports posted to CAISO website</w:t>
      </w:r>
    </w:p>
    <w:p w:rsidR="00AE7D50" w:rsidRPr="00AD151D" w:rsidRDefault="00AE7D50" w:rsidP="00095495">
      <w:pPr>
        <w:spacing w:before="120"/>
      </w:pPr>
      <w:r w:rsidRPr="00AD151D">
        <w:t xml:space="preserve"> </w:t>
      </w:r>
    </w:p>
    <w:p w:rsidR="00AE7D50" w:rsidRPr="00AD151D" w:rsidRDefault="0030217F">
      <w:pPr>
        <w:pStyle w:val="Heading3"/>
        <w:numPr>
          <w:ilvl w:val="2"/>
          <w:numId w:val="18"/>
        </w:numPr>
        <w:spacing w:before="120"/>
      </w:pPr>
      <w:bookmarkStart w:id="105" w:name="_Toc347827057"/>
      <w:r w:rsidRPr="00AD151D">
        <w:t xml:space="preserve">Trends </w:t>
      </w:r>
      <w:r w:rsidR="00AE7D50" w:rsidRPr="00AD151D">
        <w:t>in ExD by Local Area</w:t>
      </w:r>
      <w:bookmarkEnd w:id="105"/>
    </w:p>
    <w:p w:rsidR="001E0315" w:rsidRDefault="00AE7D50" w:rsidP="001E0315">
      <w:r w:rsidRPr="001E0315">
        <w:t xml:space="preserve">ExD as a whole declined </w:t>
      </w:r>
      <w:r w:rsidR="00C17159">
        <w:t xml:space="preserve">five percent </w:t>
      </w:r>
      <w:r w:rsidR="0030217F" w:rsidRPr="001E0315">
        <w:t>overall</w:t>
      </w:r>
      <w:r w:rsidR="00C17159">
        <w:t xml:space="preserve"> MW volumes</w:t>
      </w:r>
      <w:r w:rsidR="0030217F" w:rsidRPr="001E0315">
        <w:t xml:space="preserve"> between 2010 and </w:t>
      </w:r>
      <w:r w:rsidR="00820AE3" w:rsidRPr="001E0315">
        <w:t>201</w:t>
      </w:r>
      <w:r w:rsidR="00A9171A" w:rsidRPr="001E0315">
        <w:t>1 in MWh volume</w:t>
      </w:r>
      <w:r w:rsidR="00AD0D06" w:rsidRPr="001E0315">
        <w:t xml:space="preserve"> </w:t>
      </w:r>
      <w:r w:rsidR="00C17159">
        <w:t>(</w:t>
      </w:r>
      <w:r w:rsidR="00AD0D06" w:rsidRPr="001E0315">
        <w:t xml:space="preserve">although some Local Areas </w:t>
      </w:r>
      <w:r w:rsidR="00C17159">
        <w:t xml:space="preserve">saw increases </w:t>
      </w:r>
      <w:r w:rsidR="00AD0D06" w:rsidRPr="001E0315">
        <w:t xml:space="preserve">and </w:t>
      </w:r>
      <w:r w:rsidR="00C17159">
        <w:t>in</w:t>
      </w:r>
      <w:r w:rsidR="00AD0D06" w:rsidRPr="001E0315">
        <w:t xml:space="preserve"> some reason codes</w:t>
      </w:r>
      <w:r w:rsidR="00C17159">
        <w:t>)</w:t>
      </w:r>
      <w:r w:rsidR="00AD0D06" w:rsidRPr="001E0315">
        <w:t xml:space="preserve">.  </w:t>
      </w:r>
    </w:p>
    <w:p w:rsidR="001E0315" w:rsidRPr="001E0315" w:rsidRDefault="00A9171A" w:rsidP="001E0315">
      <w:r w:rsidRPr="001E0315">
        <w:t xml:space="preserve">  </w:t>
      </w:r>
      <w:r w:rsidR="00AE7D50" w:rsidRPr="001E0315">
        <w:t xml:space="preserve"> </w:t>
      </w:r>
      <w:bookmarkStart w:id="106" w:name="_Ref287956485"/>
    </w:p>
    <w:p w:rsidR="00AE7D50" w:rsidRPr="00AD151D" w:rsidRDefault="00AE7D50" w:rsidP="001E0315">
      <w:pPr>
        <w:pStyle w:val="Caption"/>
        <w:keepNext/>
        <w:keepLines/>
      </w:pPr>
      <w:bookmarkStart w:id="107" w:name="_Toc347827082"/>
      <w:r w:rsidRPr="00AD151D">
        <w:lastRenderedPageBreak/>
        <w:t xml:space="preserve">Table </w:t>
      </w:r>
      <w:r w:rsidR="00B3535E">
        <w:fldChar w:fldCharType="begin"/>
      </w:r>
      <w:r w:rsidR="00B3535E">
        <w:instrText xml:space="preserve"> SEQ Table \* ARABIC </w:instrText>
      </w:r>
      <w:r w:rsidR="00B3535E">
        <w:fldChar w:fldCharType="separate"/>
      </w:r>
      <w:r w:rsidR="00B3535E">
        <w:rPr>
          <w:noProof/>
        </w:rPr>
        <w:t>12</w:t>
      </w:r>
      <w:r w:rsidR="00B3535E">
        <w:rPr>
          <w:noProof/>
        </w:rPr>
        <w:fldChar w:fldCharType="end"/>
      </w:r>
      <w:bookmarkEnd w:id="106"/>
      <w:r w:rsidRPr="00AD151D">
        <w:t xml:space="preserve"> Comparison of ExD Volume per month and Local Area (MW)</w:t>
      </w:r>
      <w:bookmarkEnd w:id="107"/>
    </w:p>
    <w:tbl>
      <w:tblPr>
        <w:tblW w:w="7665" w:type="dxa"/>
        <w:tblInd w:w="93" w:type="dxa"/>
        <w:tblLook w:val="04A0" w:firstRow="1" w:lastRow="0" w:firstColumn="1" w:lastColumn="0" w:noHBand="0" w:noVBand="1"/>
      </w:tblPr>
      <w:tblGrid>
        <w:gridCol w:w="2805"/>
        <w:gridCol w:w="1170"/>
        <w:gridCol w:w="1170"/>
        <w:gridCol w:w="1170"/>
        <w:gridCol w:w="1350"/>
      </w:tblGrid>
      <w:tr w:rsidR="00411CBB" w:rsidRPr="00AD151D" w:rsidTr="000D7850">
        <w:trPr>
          <w:trHeight w:val="656"/>
        </w:trPr>
        <w:tc>
          <w:tcPr>
            <w:tcW w:w="2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1CBB" w:rsidRPr="00586B1F" w:rsidRDefault="00411CBB" w:rsidP="001E0315">
            <w:pPr>
              <w:keepNext/>
              <w:keepLines/>
              <w:jc w:val="center"/>
              <w:rPr>
                <w:rFonts w:ascii="Calibri" w:hAnsi="Calibri"/>
                <w:b/>
                <w:color w:val="000000"/>
                <w:sz w:val="22"/>
                <w:szCs w:val="22"/>
              </w:rPr>
            </w:pPr>
            <w:r w:rsidRPr="00586B1F">
              <w:rPr>
                <w:rFonts w:ascii="Calibri" w:hAnsi="Calibri"/>
                <w:b/>
                <w:color w:val="000000"/>
                <w:sz w:val="22"/>
                <w:szCs w:val="22"/>
              </w:rPr>
              <w:t>Local Area</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11CBB" w:rsidRPr="00586B1F" w:rsidRDefault="00411CBB" w:rsidP="001E0315">
            <w:pPr>
              <w:keepNext/>
              <w:keepLines/>
              <w:jc w:val="center"/>
              <w:rPr>
                <w:rFonts w:ascii="Calibri" w:hAnsi="Calibri"/>
                <w:b/>
                <w:color w:val="000000"/>
                <w:sz w:val="22"/>
                <w:szCs w:val="22"/>
              </w:rPr>
            </w:pPr>
            <w:r w:rsidRPr="00586B1F">
              <w:rPr>
                <w:rFonts w:ascii="Calibri" w:hAnsi="Calibri"/>
                <w:b/>
                <w:color w:val="000000"/>
                <w:sz w:val="22"/>
                <w:szCs w:val="22"/>
              </w:rPr>
              <w:t>2011 Total MWh</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11CBB" w:rsidRPr="00586B1F" w:rsidRDefault="00411CBB" w:rsidP="001E0315">
            <w:pPr>
              <w:keepNext/>
              <w:keepLines/>
              <w:jc w:val="center"/>
              <w:rPr>
                <w:rFonts w:ascii="Calibri" w:hAnsi="Calibri"/>
                <w:b/>
                <w:color w:val="000000"/>
                <w:sz w:val="22"/>
                <w:szCs w:val="22"/>
              </w:rPr>
            </w:pPr>
            <w:r w:rsidRPr="00586B1F">
              <w:rPr>
                <w:rFonts w:ascii="Calibri" w:hAnsi="Calibri"/>
                <w:b/>
                <w:color w:val="000000"/>
                <w:sz w:val="22"/>
                <w:szCs w:val="22"/>
              </w:rPr>
              <w:t>2010 Total MWh</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11CBB" w:rsidRPr="00586B1F" w:rsidRDefault="00095495" w:rsidP="001E0315">
            <w:pPr>
              <w:keepNext/>
              <w:keepLines/>
              <w:jc w:val="center"/>
              <w:rPr>
                <w:rFonts w:ascii="Calibri" w:hAnsi="Calibri"/>
                <w:b/>
                <w:color w:val="000000"/>
                <w:sz w:val="22"/>
                <w:szCs w:val="22"/>
              </w:rPr>
            </w:pPr>
            <w:r w:rsidRPr="00586B1F">
              <w:rPr>
                <w:rFonts w:ascii="Calibri" w:hAnsi="Calibri"/>
                <w:b/>
                <w:color w:val="000000"/>
                <w:sz w:val="22"/>
                <w:szCs w:val="22"/>
              </w:rPr>
              <w:t>Y-O-Y Change</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411CBB" w:rsidRPr="00586B1F" w:rsidRDefault="00411CBB" w:rsidP="001E0315">
            <w:pPr>
              <w:keepNext/>
              <w:keepLines/>
              <w:jc w:val="center"/>
              <w:rPr>
                <w:rFonts w:ascii="Calibri" w:hAnsi="Calibri"/>
                <w:b/>
                <w:color w:val="000000"/>
                <w:sz w:val="22"/>
                <w:szCs w:val="22"/>
              </w:rPr>
            </w:pPr>
            <w:r w:rsidRPr="00586B1F">
              <w:rPr>
                <w:rFonts w:ascii="Calibri" w:hAnsi="Calibri"/>
                <w:b/>
                <w:color w:val="000000"/>
                <w:sz w:val="22"/>
                <w:szCs w:val="22"/>
              </w:rPr>
              <w:t xml:space="preserve">2011 </w:t>
            </w:r>
            <w:r w:rsidR="00095495" w:rsidRPr="00586B1F">
              <w:rPr>
                <w:rFonts w:ascii="Calibri" w:hAnsi="Calibri"/>
                <w:b/>
                <w:color w:val="000000"/>
                <w:sz w:val="22"/>
                <w:szCs w:val="22"/>
              </w:rPr>
              <w:t xml:space="preserve">% </w:t>
            </w:r>
            <w:r w:rsidRPr="00586B1F">
              <w:rPr>
                <w:rFonts w:ascii="Calibri" w:hAnsi="Calibri"/>
                <w:b/>
                <w:color w:val="000000"/>
                <w:sz w:val="22"/>
                <w:szCs w:val="22"/>
              </w:rPr>
              <w:t>of total</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Bay Area</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76614</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34441</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122%</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6%</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Big Creek-Ventura</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47010</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139233</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-66%</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4%</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Fresno</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71657</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53584</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34%</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6%</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Humboldt</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42147</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11687</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261%</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3%</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Kern</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0</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0</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0%</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0%</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E02059">
            <w:pPr>
              <w:keepNext/>
              <w:keepLines/>
              <w:rPr>
                <w:rFonts w:ascii="Calibri" w:hAnsi="Calibri"/>
                <w:color w:val="000000"/>
                <w:sz w:val="22"/>
                <w:szCs w:val="22"/>
              </w:rPr>
            </w:pPr>
            <w:r w:rsidRPr="00AD151D">
              <w:rPr>
                <w:rFonts w:ascii="Calibri" w:hAnsi="Calibri"/>
                <w:color w:val="000000"/>
                <w:sz w:val="22"/>
                <w:szCs w:val="22"/>
              </w:rPr>
              <w:t>L</w:t>
            </w:r>
            <w:r w:rsidR="00E02059">
              <w:rPr>
                <w:rFonts w:ascii="Calibri" w:hAnsi="Calibri"/>
                <w:color w:val="000000"/>
                <w:sz w:val="22"/>
                <w:szCs w:val="22"/>
              </w:rPr>
              <w:t>A</w:t>
            </w:r>
            <w:r w:rsidRPr="00AD151D">
              <w:rPr>
                <w:rFonts w:ascii="Calibri" w:hAnsi="Calibri"/>
                <w:color w:val="000000"/>
                <w:sz w:val="22"/>
                <w:szCs w:val="22"/>
              </w:rPr>
              <w:t xml:space="preserve"> Basin</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613029</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594294</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3%</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47%</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NCNB</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949</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4151</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-77%</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0%</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San Diego</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197319</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259887</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-24%</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15%</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Sierra</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9917</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40633</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-76%</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Stockton</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50530</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410</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12230%</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4%</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AD151D" w:rsidRDefault="00411CBB" w:rsidP="001E0315">
            <w:pPr>
              <w:keepNext/>
              <w:keepLines/>
              <w:rPr>
                <w:rFonts w:ascii="Calibri" w:hAnsi="Calibri"/>
                <w:color w:val="000000"/>
                <w:sz w:val="22"/>
                <w:szCs w:val="22"/>
              </w:rPr>
            </w:pPr>
            <w:r w:rsidRPr="00AD151D">
              <w:rPr>
                <w:rFonts w:ascii="Calibri" w:hAnsi="Calibri"/>
                <w:color w:val="000000"/>
                <w:sz w:val="22"/>
                <w:szCs w:val="22"/>
              </w:rPr>
              <w:t>CAISO System</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189618</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234649</w:t>
            </w:r>
          </w:p>
        </w:tc>
        <w:tc>
          <w:tcPr>
            <w:tcW w:w="117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-19%</w:t>
            </w:r>
          </w:p>
        </w:tc>
        <w:tc>
          <w:tcPr>
            <w:tcW w:w="1350" w:type="dxa"/>
            <w:tcBorders>
              <w:top w:val="nil"/>
              <w:left w:val="nil"/>
              <w:bottom w:val="single" w:sz="4" w:space="0" w:color="auto"/>
              <w:right w:val="single" w:sz="4" w:space="0" w:color="auto"/>
            </w:tcBorders>
            <w:shd w:val="clear" w:color="auto" w:fill="auto"/>
            <w:vAlign w:val="bottom"/>
            <w:hideMark/>
          </w:tcPr>
          <w:p w:rsidR="00411CBB" w:rsidRPr="00AD151D" w:rsidRDefault="00411CBB" w:rsidP="001E0315">
            <w:pPr>
              <w:keepNext/>
              <w:keepLines/>
              <w:jc w:val="right"/>
              <w:rPr>
                <w:rFonts w:ascii="Calibri" w:hAnsi="Calibri"/>
                <w:color w:val="000000"/>
                <w:sz w:val="22"/>
                <w:szCs w:val="22"/>
              </w:rPr>
            </w:pPr>
            <w:r w:rsidRPr="00AD151D">
              <w:rPr>
                <w:rFonts w:ascii="Calibri" w:hAnsi="Calibri"/>
                <w:color w:val="000000"/>
                <w:sz w:val="22"/>
                <w:szCs w:val="22"/>
              </w:rPr>
              <w:t>15%</w:t>
            </w:r>
          </w:p>
        </w:tc>
      </w:tr>
      <w:tr w:rsidR="00411CBB" w:rsidRPr="00AD151D" w:rsidTr="00095495">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11CBB" w:rsidRPr="00586B1F" w:rsidRDefault="00411CBB" w:rsidP="001E0315">
            <w:pPr>
              <w:keepNext/>
              <w:keepLines/>
              <w:rPr>
                <w:rFonts w:ascii="Calibri" w:hAnsi="Calibri"/>
                <w:b/>
                <w:color w:val="000000"/>
                <w:sz w:val="22"/>
                <w:szCs w:val="22"/>
              </w:rPr>
            </w:pPr>
            <w:r w:rsidRPr="00586B1F">
              <w:rPr>
                <w:rFonts w:ascii="Calibri" w:hAnsi="Calibri"/>
                <w:b/>
                <w:color w:val="000000"/>
                <w:sz w:val="22"/>
                <w:szCs w:val="22"/>
              </w:rPr>
              <w:t>Total</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586B1F" w:rsidRDefault="00411CBB" w:rsidP="001E0315">
            <w:pPr>
              <w:keepNext/>
              <w:keepLines/>
              <w:jc w:val="right"/>
              <w:rPr>
                <w:rFonts w:ascii="Calibri" w:hAnsi="Calibri"/>
                <w:b/>
                <w:color w:val="000000"/>
                <w:sz w:val="22"/>
                <w:szCs w:val="22"/>
              </w:rPr>
            </w:pPr>
            <w:r w:rsidRPr="00586B1F">
              <w:rPr>
                <w:rFonts w:ascii="Calibri" w:hAnsi="Calibri"/>
                <w:b/>
                <w:color w:val="000000"/>
                <w:sz w:val="22"/>
                <w:szCs w:val="22"/>
              </w:rPr>
              <w:t>1298791</w:t>
            </w:r>
          </w:p>
        </w:tc>
        <w:tc>
          <w:tcPr>
            <w:tcW w:w="1170" w:type="dxa"/>
            <w:tcBorders>
              <w:top w:val="nil"/>
              <w:left w:val="nil"/>
              <w:bottom w:val="single" w:sz="4" w:space="0" w:color="auto"/>
              <w:right w:val="single" w:sz="4" w:space="0" w:color="auto"/>
            </w:tcBorders>
            <w:shd w:val="clear" w:color="auto" w:fill="auto"/>
            <w:noWrap/>
            <w:vAlign w:val="bottom"/>
            <w:hideMark/>
          </w:tcPr>
          <w:p w:rsidR="00411CBB" w:rsidRPr="00586B1F" w:rsidRDefault="00411CBB" w:rsidP="001E0315">
            <w:pPr>
              <w:keepNext/>
              <w:keepLines/>
              <w:jc w:val="right"/>
              <w:rPr>
                <w:rFonts w:ascii="Calibri" w:hAnsi="Calibri"/>
                <w:b/>
                <w:color w:val="000000"/>
                <w:sz w:val="22"/>
                <w:szCs w:val="22"/>
              </w:rPr>
            </w:pPr>
            <w:r w:rsidRPr="00586B1F">
              <w:rPr>
                <w:rFonts w:ascii="Calibri" w:hAnsi="Calibri"/>
                <w:b/>
                <w:color w:val="000000"/>
                <w:sz w:val="22"/>
                <w:szCs w:val="22"/>
              </w:rPr>
              <w:t>1372967</w:t>
            </w:r>
          </w:p>
        </w:tc>
        <w:tc>
          <w:tcPr>
            <w:tcW w:w="1170" w:type="dxa"/>
            <w:tcBorders>
              <w:top w:val="nil"/>
              <w:left w:val="nil"/>
              <w:bottom w:val="single" w:sz="4" w:space="0" w:color="auto"/>
              <w:right w:val="single" w:sz="4" w:space="0" w:color="auto"/>
            </w:tcBorders>
            <w:shd w:val="clear" w:color="auto" w:fill="auto"/>
            <w:vAlign w:val="bottom"/>
            <w:hideMark/>
          </w:tcPr>
          <w:p w:rsidR="00411CBB" w:rsidRPr="00586B1F" w:rsidRDefault="00411CBB" w:rsidP="001E0315">
            <w:pPr>
              <w:keepNext/>
              <w:keepLines/>
              <w:jc w:val="right"/>
              <w:rPr>
                <w:rFonts w:ascii="Calibri" w:hAnsi="Calibri"/>
                <w:b/>
                <w:color w:val="000000"/>
                <w:sz w:val="22"/>
                <w:szCs w:val="22"/>
              </w:rPr>
            </w:pPr>
            <w:r w:rsidRPr="00586B1F">
              <w:rPr>
                <w:rFonts w:ascii="Calibri" w:hAnsi="Calibri"/>
                <w:b/>
                <w:color w:val="000000"/>
                <w:sz w:val="22"/>
                <w:szCs w:val="22"/>
              </w:rPr>
              <w:t>-5%</w:t>
            </w:r>
          </w:p>
        </w:tc>
        <w:tc>
          <w:tcPr>
            <w:tcW w:w="1350" w:type="dxa"/>
            <w:tcBorders>
              <w:top w:val="nil"/>
              <w:left w:val="nil"/>
              <w:bottom w:val="single" w:sz="4" w:space="0" w:color="auto"/>
              <w:right w:val="single" w:sz="4" w:space="0" w:color="auto"/>
            </w:tcBorders>
            <w:shd w:val="clear" w:color="auto" w:fill="auto"/>
            <w:vAlign w:val="bottom"/>
            <w:hideMark/>
          </w:tcPr>
          <w:p w:rsidR="00411CBB" w:rsidRPr="00586B1F" w:rsidRDefault="00411CBB" w:rsidP="001E0315">
            <w:pPr>
              <w:keepNext/>
              <w:keepLines/>
              <w:jc w:val="right"/>
              <w:rPr>
                <w:rFonts w:ascii="Calibri" w:hAnsi="Calibri"/>
                <w:b/>
                <w:color w:val="000000"/>
                <w:sz w:val="22"/>
                <w:szCs w:val="22"/>
              </w:rPr>
            </w:pPr>
            <w:r w:rsidRPr="00586B1F">
              <w:rPr>
                <w:rFonts w:ascii="Calibri" w:hAnsi="Calibri"/>
                <w:b/>
                <w:color w:val="000000"/>
                <w:sz w:val="22"/>
                <w:szCs w:val="22"/>
              </w:rPr>
              <w:t>100%</w:t>
            </w:r>
          </w:p>
        </w:tc>
      </w:tr>
    </w:tbl>
    <w:p w:rsidR="00AE7D50" w:rsidRPr="00AD151D" w:rsidRDefault="00AE7D50" w:rsidP="001E0315">
      <w:pPr>
        <w:keepNext/>
        <w:keepLines/>
        <w:rPr>
          <w:sz w:val="20"/>
          <w:szCs w:val="20"/>
        </w:rPr>
      </w:pPr>
      <w:r w:rsidRPr="00AD151D">
        <w:rPr>
          <w:sz w:val="20"/>
          <w:szCs w:val="20"/>
        </w:rPr>
        <w:t xml:space="preserve">Source: Monthly CAISO </w:t>
      </w:r>
      <w:r w:rsidR="00DF536B">
        <w:rPr>
          <w:sz w:val="20"/>
          <w:szCs w:val="20"/>
        </w:rPr>
        <w:t>ExD</w:t>
      </w:r>
      <w:r w:rsidRPr="00AD151D">
        <w:rPr>
          <w:sz w:val="20"/>
          <w:szCs w:val="20"/>
        </w:rPr>
        <w:t xml:space="preserve"> Reports (</w:t>
      </w:r>
      <w:hyperlink r:id="rId11" w:history="1">
        <w:r w:rsidRPr="00AD151D">
          <w:rPr>
            <w:rStyle w:val="Hyperlink"/>
            <w:sz w:val="20"/>
            <w:szCs w:val="20"/>
          </w:rPr>
          <w:t>http://www.caiso.com/241d/241dca223c760.html</w:t>
        </w:r>
      </w:hyperlink>
      <w:r w:rsidRPr="00AD151D">
        <w:rPr>
          <w:sz w:val="20"/>
          <w:szCs w:val="20"/>
        </w:rPr>
        <w:t xml:space="preserve">) </w:t>
      </w:r>
    </w:p>
    <w:p w:rsidR="00AE7D50" w:rsidRPr="00AD151D" w:rsidRDefault="00411CBB">
      <w:pPr>
        <w:pStyle w:val="Heading3"/>
        <w:numPr>
          <w:ilvl w:val="2"/>
          <w:numId w:val="18"/>
        </w:numPr>
      </w:pPr>
      <w:bookmarkStart w:id="108" w:name="_Toc347827058"/>
      <w:r w:rsidRPr="00AD151D">
        <w:t>Trends</w:t>
      </w:r>
      <w:r w:rsidR="00AE7D50" w:rsidRPr="00AD151D">
        <w:t xml:space="preserve"> in ExD by Reason </w:t>
      </w:r>
      <w:r w:rsidRPr="00AD151D">
        <w:t>Category</w:t>
      </w:r>
      <w:bookmarkEnd w:id="108"/>
    </w:p>
    <w:p w:rsidR="00F771A4" w:rsidRPr="00AD151D" w:rsidRDefault="00AE7D50" w:rsidP="00411CBB">
      <w:pPr>
        <w:spacing w:before="120"/>
        <w:ind w:firstLine="720"/>
      </w:pPr>
      <w:r w:rsidRPr="00AD151D">
        <w:t xml:space="preserve">ExD </w:t>
      </w:r>
      <w:r w:rsidR="00C17159">
        <w:t xml:space="preserve">MWh volume changes </w:t>
      </w:r>
      <w:r w:rsidRPr="00AD151D">
        <w:t xml:space="preserve">between </w:t>
      </w:r>
      <w:r w:rsidR="00AD0D06" w:rsidRPr="00AD151D">
        <w:t xml:space="preserve">2010 </w:t>
      </w:r>
      <w:r w:rsidRPr="00AD151D">
        <w:t>and 201</w:t>
      </w:r>
      <w:r w:rsidR="00AD0D06" w:rsidRPr="00AD151D">
        <w:t xml:space="preserve">1 </w:t>
      </w:r>
      <w:r w:rsidR="00C17159">
        <w:t>include</w:t>
      </w:r>
      <w:r w:rsidR="00F771A4" w:rsidRPr="00AD151D">
        <w:t xml:space="preserve"> a 23% drop in ExD related to System Reliability</w:t>
      </w:r>
      <w:r w:rsidR="00C17159">
        <w:t>,</w:t>
      </w:r>
      <w:r w:rsidR="00F771A4" w:rsidRPr="00AD151D">
        <w:t xml:space="preserve"> a 48% drop in ExD related to transmission procedures</w:t>
      </w:r>
      <w:r w:rsidR="00C17159">
        <w:t>,</w:t>
      </w:r>
      <w:r w:rsidR="00F771A4" w:rsidRPr="00AD151D">
        <w:t xml:space="preserve"> </w:t>
      </w:r>
      <w:r w:rsidR="00C17159">
        <w:t>offset</w:t>
      </w:r>
      <w:r w:rsidR="00C17159" w:rsidRPr="00AD151D">
        <w:t xml:space="preserve"> </w:t>
      </w:r>
      <w:r w:rsidR="00C17159">
        <w:t xml:space="preserve">by </w:t>
      </w:r>
      <w:r w:rsidR="00F771A4" w:rsidRPr="00AD151D">
        <w:t>a 58% growth in ExD related to dispatchability</w:t>
      </w:r>
      <w:r w:rsidR="00C17159">
        <w:t>,</w:t>
      </w:r>
      <w:r w:rsidR="00F771A4" w:rsidRPr="00AD151D">
        <w:t xml:space="preserve"> and </w:t>
      </w:r>
      <w:r w:rsidR="00C17159">
        <w:t xml:space="preserve">a </w:t>
      </w:r>
      <w:r w:rsidR="00F771A4" w:rsidRPr="00AD151D">
        <w:t>14% growth</w:t>
      </w:r>
      <w:r w:rsidR="00C17159">
        <w:t xml:space="preserve"> due </w:t>
      </w:r>
      <w:r w:rsidR="00F771A4" w:rsidRPr="00AD151D">
        <w:t xml:space="preserve">to software limitations.  </w:t>
      </w:r>
      <w:r w:rsidR="00411CBB" w:rsidRPr="00AD151D">
        <w:fldChar w:fldCharType="begin"/>
      </w:r>
      <w:r w:rsidR="00411CBB" w:rsidRPr="00AD151D">
        <w:instrText xml:space="preserve"> REF _Ref347315854 \h </w:instrText>
      </w:r>
      <w:r w:rsidR="00691252" w:rsidRPr="00AD151D">
        <w:instrText xml:space="preserve"> \* MERGEFORMAT </w:instrText>
      </w:r>
      <w:r w:rsidR="00411CBB" w:rsidRPr="00AD151D">
        <w:fldChar w:fldCharType="separate"/>
      </w:r>
      <w:r w:rsidR="00B3535E" w:rsidRPr="00AD151D">
        <w:t xml:space="preserve">Table </w:t>
      </w:r>
      <w:r w:rsidR="00B3535E">
        <w:rPr>
          <w:noProof/>
        </w:rPr>
        <w:t>13</w:t>
      </w:r>
      <w:r w:rsidR="00411CBB" w:rsidRPr="00AD151D">
        <w:fldChar w:fldCharType="end"/>
      </w:r>
      <w:r w:rsidR="00411CBB" w:rsidRPr="00AD151D">
        <w:t xml:space="preserve"> il</w:t>
      </w:r>
      <w:r w:rsidRPr="00AD151D">
        <w:t>lustrates th</w:t>
      </w:r>
      <w:r w:rsidR="00F771A4" w:rsidRPr="00AD151D">
        <w:t xml:space="preserve">e breakdown of ExD MWh volumes </w:t>
      </w:r>
      <w:r w:rsidR="00C17159">
        <w:t>by</w:t>
      </w:r>
      <w:r w:rsidR="00F771A4" w:rsidRPr="00AD151D">
        <w:t xml:space="preserve"> </w:t>
      </w:r>
      <w:r w:rsidR="00411CBB" w:rsidRPr="00AD151D">
        <w:t xml:space="preserve">Energy </w:t>
      </w:r>
      <w:r w:rsidR="00B414BC" w:rsidRPr="00AD151D">
        <w:t>Division’s categories</w:t>
      </w:r>
      <w:r w:rsidR="00F771A4" w:rsidRPr="00AD151D">
        <w:t>.</w:t>
      </w:r>
      <w:r w:rsidR="004A2ECB">
        <w:t xml:space="preserve">  A monthly breakdown of ExD volumes by category is included as Appendix 2</w:t>
      </w:r>
    </w:p>
    <w:p w:rsidR="00F771A4" w:rsidRPr="00AD151D" w:rsidRDefault="00F771A4" w:rsidP="003A0DD6">
      <w:pPr>
        <w:pStyle w:val="Caption"/>
      </w:pPr>
    </w:p>
    <w:p w:rsidR="00F771A4" w:rsidRPr="00AD151D" w:rsidRDefault="00F771A4" w:rsidP="006645E2">
      <w:pPr>
        <w:pStyle w:val="Caption"/>
        <w:widowControl w:val="0"/>
      </w:pPr>
      <w:bookmarkStart w:id="109" w:name="_Ref347315854"/>
      <w:bookmarkStart w:id="110" w:name="_Toc347827083"/>
      <w:r w:rsidRPr="00AD151D">
        <w:t xml:space="preserve">Table </w:t>
      </w:r>
      <w:r w:rsidR="00B3535E">
        <w:fldChar w:fldCharType="begin"/>
      </w:r>
      <w:r w:rsidR="00B3535E">
        <w:instrText xml:space="preserve"> SEQ Table \* ARABIC </w:instrText>
      </w:r>
      <w:r w:rsidR="00B3535E">
        <w:fldChar w:fldCharType="separate"/>
      </w:r>
      <w:r w:rsidR="00B3535E">
        <w:rPr>
          <w:noProof/>
        </w:rPr>
        <w:t>13</w:t>
      </w:r>
      <w:r w:rsidR="00B3535E">
        <w:rPr>
          <w:noProof/>
        </w:rPr>
        <w:fldChar w:fldCharType="end"/>
      </w:r>
      <w:bookmarkEnd w:id="109"/>
      <w:r w:rsidRPr="00AD151D">
        <w:t xml:space="preserve"> Breakdown of ExD MWh volumes by reason categories</w:t>
      </w:r>
      <w:bookmarkEnd w:id="110"/>
    </w:p>
    <w:tbl>
      <w:tblPr>
        <w:tblW w:w="7665" w:type="dxa"/>
        <w:tblInd w:w="93" w:type="dxa"/>
        <w:tblLook w:val="04A0" w:firstRow="1" w:lastRow="0" w:firstColumn="1" w:lastColumn="0" w:noHBand="0" w:noVBand="1"/>
      </w:tblPr>
      <w:tblGrid>
        <w:gridCol w:w="3165"/>
        <w:gridCol w:w="1170"/>
        <w:gridCol w:w="1260"/>
        <w:gridCol w:w="990"/>
        <w:gridCol w:w="1080"/>
      </w:tblGrid>
      <w:tr w:rsidR="00F771A4" w:rsidRPr="00586B1F" w:rsidTr="0094467F">
        <w:trPr>
          <w:trHeight w:val="737"/>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2"/>
                <w:szCs w:val="22"/>
              </w:rPr>
            </w:pPr>
            <w:r w:rsidRPr="0094467F">
              <w:rPr>
                <w:color w:val="000000"/>
                <w:sz w:val="22"/>
                <w:szCs w:val="22"/>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F771A4" w:rsidRPr="00586B1F" w:rsidRDefault="00F771A4" w:rsidP="006645E2">
            <w:pPr>
              <w:widowControl w:val="0"/>
              <w:jc w:val="center"/>
              <w:rPr>
                <w:b/>
                <w:color w:val="000000"/>
                <w:sz w:val="22"/>
                <w:szCs w:val="22"/>
              </w:rPr>
            </w:pPr>
            <w:r w:rsidRPr="00586B1F">
              <w:rPr>
                <w:b/>
                <w:color w:val="000000"/>
                <w:sz w:val="22"/>
                <w:szCs w:val="22"/>
              </w:rPr>
              <w:t>2011 Total MWh</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771A4" w:rsidRPr="00586B1F" w:rsidRDefault="00F771A4" w:rsidP="006645E2">
            <w:pPr>
              <w:widowControl w:val="0"/>
              <w:jc w:val="center"/>
              <w:rPr>
                <w:b/>
                <w:color w:val="000000"/>
                <w:sz w:val="22"/>
                <w:szCs w:val="22"/>
              </w:rPr>
            </w:pPr>
            <w:r w:rsidRPr="00586B1F">
              <w:rPr>
                <w:b/>
                <w:color w:val="000000"/>
                <w:sz w:val="22"/>
                <w:szCs w:val="22"/>
              </w:rPr>
              <w:t>2010 Total MWh</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F771A4" w:rsidRPr="00586B1F" w:rsidRDefault="00095495" w:rsidP="006645E2">
            <w:pPr>
              <w:widowControl w:val="0"/>
              <w:jc w:val="center"/>
              <w:rPr>
                <w:b/>
                <w:color w:val="000000"/>
                <w:sz w:val="22"/>
                <w:szCs w:val="22"/>
              </w:rPr>
            </w:pPr>
            <w:r w:rsidRPr="00586B1F">
              <w:rPr>
                <w:b/>
                <w:color w:val="000000"/>
                <w:sz w:val="22"/>
                <w:szCs w:val="22"/>
              </w:rPr>
              <w:t xml:space="preserve">Y-O-Y </w:t>
            </w:r>
            <w:r w:rsidR="00F771A4" w:rsidRPr="00586B1F">
              <w:rPr>
                <w:b/>
                <w:color w:val="000000"/>
                <w:sz w:val="22"/>
                <w:szCs w:val="22"/>
              </w:rPr>
              <w:t>Change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F771A4" w:rsidRPr="00586B1F" w:rsidRDefault="0094467F" w:rsidP="006645E2">
            <w:pPr>
              <w:widowControl w:val="0"/>
              <w:jc w:val="center"/>
              <w:rPr>
                <w:b/>
                <w:color w:val="000000"/>
                <w:sz w:val="22"/>
                <w:szCs w:val="22"/>
              </w:rPr>
            </w:pPr>
            <w:r w:rsidRPr="00586B1F">
              <w:rPr>
                <w:b/>
                <w:color w:val="000000"/>
                <w:sz w:val="22"/>
                <w:szCs w:val="22"/>
              </w:rPr>
              <w:t xml:space="preserve">2011 </w:t>
            </w:r>
            <w:r w:rsidR="00095495" w:rsidRPr="00586B1F">
              <w:rPr>
                <w:b/>
                <w:color w:val="000000"/>
                <w:sz w:val="22"/>
                <w:szCs w:val="22"/>
              </w:rPr>
              <w:t xml:space="preserve">% </w:t>
            </w:r>
            <w:r w:rsidR="00F771A4" w:rsidRPr="00586B1F">
              <w:rPr>
                <w:b/>
                <w:color w:val="000000"/>
                <w:sz w:val="22"/>
                <w:szCs w:val="22"/>
              </w:rPr>
              <w:t xml:space="preserve">of </w:t>
            </w:r>
            <w:r w:rsidR="00095495" w:rsidRPr="00586B1F">
              <w:rPr>
                <w:b/>
                <w:color w:val="000000"/>
                <w:sz w:val="22"/>
                <w:szCs w:val="22"/>
              </w:rPr>
              <w:t>T</w:t>
            </w:r>
            <w:r w:rsidR="00F771A4" w:rsidRPr="00586B1F">
              <w:rPr>
                <w:b/>
                <w:color w:val="000000"/>
                <w:sz w:val="22"/>
                <w:szCs w:val="22"/>
              </w:rPr>
              <w:t>otal</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Dispatchability</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215973</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137094</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58%</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17%</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Forecast Uncertainty</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10360</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13108</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-21%</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1%</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Generation procedure</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59275</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51339</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15%</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5%</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Generation/Transmission Outage</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268603</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267650</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0%</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21%</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Software Limitation</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135986</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119617</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14%</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11%</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System Reliability</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197495</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257691</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-23%</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15%</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2"/>
                <w:szCs w:val="22"/>
              </w:rPr>
            </w:pPr>
            <w:r w:rsidRPr="0094467F">
              <w:rPr>
                <w:color w:val="000000"/>
                <w:sz w:val="22"/>
                <w:szCs w:val="22"/>
              </w:rPr>
              <w:t>Transmission Mitigation</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52642</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85702</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-39%</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4%</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Transmission procedure</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155459</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299429</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-48%</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12%</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Unit Testing</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44047</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85508</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-48%</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3%</w:t>
            </w:r>
          </w:p>
        </w:tc>
      </w:tr>
      <w:tr w:rsidR="00F771A4" w:rsidRPr="00AD151D" w:rsidTr="0094467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Zonal Import Limits</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487</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17348</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-97%</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0%</w:t>
            </w:r>
          </w:p>
        </w:tc>
      </w:tr>
      <w:tr w:rsidR="00F771A4" w:rsidRPr="00AD151D" w:rsidTr="0094467F">
        <w:trPr>
          <w:trHeight w:val="300"/>
        </w:trPr>
        <w:tc>
          <w:tcPr>
            <w:tcW w:w="3165" w:type="dxa"/>
            <w:tcBorders>
              <w:top w:val="nil"/>
              <w:left w:val="single" w:sz="4" w:space="0" w:color="auto"/>
              <w:bottom w:val="nil"/>
              <w:right w:val="single" w:sz="4" w:space="0" w:color="auto"/>
            </w:tcBorders>
            <w:shd w:val="clear" w:color="auto" w:fill="auto"/>
            <w:noWrap/>
            <w:vAlign w:val="bottom"/>
            <w:hideMark/>
          </w:tcPr>
          <w:p w:rsidR="00F771A4" w:rsidRPr="0094467F" w:rsidRDefault="00F771A4" w:rsidP="006645E2">
            <w:pPr>
              <w:widowControl w:val="0"/>
              <w:rPr>
                <w:color w:val="000000"/>
                <w:sz w:val="20"/>
                <w:szCs w:val="20"/>
              </w:rPr>
            </w:pPr>
            <w:r w:rsidRPr="0094467F">
              <w:rPr>
                <w:color w:val="000000"/>
                <w:sz w:val="20"/>
                <w:szCs w:val="20"/>
              </w:rPr>
              <w:t>Other</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138833</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94467F" w:rsidRDefault="00F771A4" w:rsidP="006645E2">
            <w:pPr>
              <w:widowControl w:val="0"/>
              <w:jc w:val="right"/>
              <w:rPr>
                <w:color w:val="000000"/>
                <w:sz w:val="22"/>
                <w:szCs w:val="22"/>
              </w:rPr>
            </w:pPr>
            <w:r w:rsidRPr="0094467F">
              <w:rPr>
                <w:color w:val="000000"/>
                <w:sz w:val="22"/>
                <w:szCs w:val="22"/>
              </w:rPr>
              <w:t>16422</w:t>
            </w:r>
          </w:p>
        </w:tc>
        <w:tc>
          <w:tcPr>
            <w:tcW w:w="99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745%</w:t>
            </w:r>
          </w:p>
        </w:tc>
        <w:tc>
          <w:tcPr>
            <w:tcW w:w="1080" w:type="dxa"/>
            <w:tcBorders>
              <w:top w:val="nil"/>
              <w:left w:val="nil"/>
              <w:bottom w:val="single" w:sz="4" w:space="0" w:color="auto"/>
              <w:right w:val="single" w:sz="4" w:space="0" w:color="auto"/>
            </w:tcBorders>
            <w:shd w:val="clear" w:color="auto" w:fill="auto"/>
            <w:vAlign w:val="bottom"/>
            <w:hideMark/>
          </w:tcPr>
          <w:p w:rsidR="00F771A4" w:rsidRPr="0094467F" w:rsidRDefault="00F771A4" w:rsidP="006645E2">
            <w:pPr>
              <w:widowControl w:val="0"/>
              <w:jc w:val="right"/>
              <w:rPr>
                <w:color w:val="000000"/>
                <w:sz w:val="22"/>
                <w:szCs w:val="22"/>
              </w:rPr>
            </w:pPr>
            <w:r w:rsidRPr="0094467F">
              <w:rPr>
                <w:color w:val="000000"/>
                <w:sz w:val="22"/>
                <w:szCs w:val="22"/>
              </w:rPr>
              <w:t>11%</w:t>
            </w:r>
          </w:p>
        </w:tc>
      </w:tr>
      <w:tr w:rsidR="00F771A4" w:rsidRPr="00AD151D" w:rsidTr="0094467F">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1A4" w:rsidRPr="00586B1F" w:rsidRDefault="00F771A4" w:rsidP="006645E2">
            <w:pPr>
              <w:widowControl w:val="0"/>
              <w:rPr>
                <w:b/>
                <w:color w:val="000000"/>
                <w:sz w:val="22"/>
                <w:szCs w:val="22"/>
              </w:rPr>
            </w:pPr>
            <w:r w:rsidRPr="00586B1F">
              <w:rPr>
                <w:b/>
                <w:color w:val="000000"/>
                <w:sz w:val="22"/>
                <w:szCs w:val="22"/>
              </w:rPr>
              <w:t>Total</w:t>
            </w:r>
          </w:p>
        </w:tc>
        <w:tc>
          <w:tcPr>
            <w:tcW w:w="1170" w:type="dxa"/>
            <w:tcBorders>
              <w:top w:val="nil"/>
              <w:left w:val="nil"/>
              <w:bottom w:val="single" w:sz="4" w:space="0" w:color="auto"/>
              <w:right w:val="single" w:sz="4" w:space="0" w:color="auto"/>
            </w:tcBorders>
            <w:shd w:val="clear" w:color="auto" w:fill="auto"/>
            <w:noWrap/>
            <w:vAlign w:val="bottom"/>
            <w:hideMark/>
          </w:tcPr>
          <w:p w:rsidR="00F771A4" w:rsidRPr="00586B1F" w:rsidRDefault="00F771A4" w:rsidP="006645E2">
            <w:pPr>
              <w:widowControl w:val="0"/>
              <w:jc w:val="right"/>
              <w:rPr>
                <w:b/>
                <w:color w:val="000000"/>
                <w:sz w:val="22"/>
                <w:szCs w:val="22"/>
              </w:rPr>
            </w:pPr>
            <w:r w:rsidRPr="00586B1F">
              <w:rPr>
                <w:b/>
                <w:color w:val="000000"/>
                <w:sz w:val="22"/>
                <w:szCs w:val="22"/>
              </w:rPr>
              <w:t>1279159</w:t>
            </w:r>
          </w:p>
        </w:tc>
        <w:tc>
          <w:tcPr>
            <w:tcW w:w="1260" w:type="dxa"/>
            <w:tcBorders>
              <w:top w:val="nil"/>
              <w:left w:val="nil"/>
              <w:bottom w:val="single" w:sz="4" w:space="0" w:color="auto"/>
              <w:right w:val="single" w:sz="4" w:space="0" w:color="auto"/>
            </w:tcBorders>
            <w:shd w:val="clear" w:color="auto" w:fill="auto"/>
            <w:noWrap/>
            <w:vAlign w:val="bottom"/>
            <w:hideMark/>
          </w:tcPr>
          <w:p w:rsidR="00F771A4" w:rsidRPr="00586B1F" w:rsidRDefault="00F771A4" w:rsidP="006645E2">
            <w:pPr>
              <w:widowControl w:val="0"/>
              <w:jc w:val="right"/>
              <w:rPr>
                <w:b/>
                <w:color w:val="000000"/>
                <w:sz w:val="22"/>
                <w:szCs w:val="22"/>
              </w:rPr>
            </w:pPr>
            <w:r w:rsidRPr="00586B1F">
              <w:rPr>
                <w:b/>
                <w:color w:val="000000"/>
                <w:sz w:val="22"/>
                <w:szCs w:val="22"/>
              </w:rPr>
              <w:t>1350908</w:t>
            </w:r>
          </w:p>
        </w:tc>
        <w:tc>
          <w:tcPr>
            <w:tcW w:w="990" w:type="dxa"/>
            <w:tcBorders>
              <w:top w:val="nil"/>
              <w:left w:val="nil"/>
              <w:bottom w:val="single" w:sz="4" w:space="0" w:color="auto"/>
              <w:right w:val="single" w:sz="4" w:space="0" w:color="auto"/>
            </w:tcBorders>
            <w:shd w:val="clear" w:color="auto" w:fill="auto"/>
            <w:vAlign w:val="bottom"/>
            <w:hideMark/>
          </w:tcPr>
          <w:p w:rsidR="00F771A4" w:rsidRPr="00586B1F" w:rsidRDefault="00F771A4" w:rsidP="006645E2">
            <w:pPr>
              <w:widowControl w:val="0"/>
              <w:jc w:val="right"/>
              <w:rPr>
                <w:b/>
                <w:color w:val="000000"/>
                <w:sz w:val="22"/>
                <w:szCs w:val="22"/>
              </w:rPr>
            </w:pPr>
            <w:r w:rsidRPr="00586B1F">
              <w:rPr>
                <w:b/>
                <w:color w:val="000000"/>
                <w:sz w:val="22"/>
                <w:szCs w:val="22"/>
              </w:rPr>
              <w:t>-5%</w:t>
            </w:r>
          </w:p>
        </w:tc>
        <w:tc>
          <w:tcPr>
            <w:tcW w:w="1080" w:type="dxa"/>
            <w:tcBorders>
              <w:top w:val="nil"/>
              <w:left w:val="nil"/>
              <w:bottom w:val="single" w:sz="4" w:space="0" w:color="auto"/>
              <w:right w:val="single" w:sz="4" w:space="0" w:color="auto"/>
            </w:tcBorders>
            <w:shd w:val="clear" w:color="auto" w:fill="auto"/>
            <w:vAlign w:val="bottom"/>
            <w:hideMark/>
          </w:tcPr>
          <w:p w:rsidR="00F771A4" w:rsidRPr="00586B1F" w:rsidRDefault="00F771A4" w:rsidP="006645E2">
            <w:pPr>
              <w:widowControl w:val="0"/>
              <w:jc w:val="right"/>
              <w:rPr>
                <w:b/>
                <w:color w:val="000000"/>
                <w:sz w:val="22"/>
                <w:szCs w:val="22"/>
              </w:rPr>
            </w:pPr>
            <w:r w:rsidRPr="00586B1F">
              <w:rPr>
                <w:b/>
                <w:color w:val="000000"/>
                <w:sz w:val="22"/>
                <w:szCs w:val="22"/>
              </w:rPr>
              <w:t>100%</w:t>
            </w:r>
          </w:p>
        </w:tc>
      </w:tr>
    </w:tbl>
    <w:p w:rsidR="00F771A4" w:rsidRPr="00AD151D" w:rsidRDefault="00F771A4" w:rsidP="006645E2">
      <w:pPr>
        <w:widowControl w:val="0"/>
        <w:rPr>
          <w:sz w:val="20"/>
          <w:szCs w:val="20"/>
        </w:rPr>
      </w:pPr>
      <w:r w:rsidRPr="00AD151D">
        <w:rPr>
          <w:sz w:val="20"/>
          <w:szCs w:val="20"/>
        </w:rPr>
        <w:t>Source: ExD reports posted to CAISO website</w:t>
      </w:r>
    </w:p>
    <w:p w:rsidR="00F7362A" w:rsidRDefault="0051629E" w:rsidP="00E657F3">
      <w:pPr>
        <w:widowControl w:val="0"/>
        <w:spacing w:before="120"/>
      </w:pPr>
      <w:r w:rsidRPr="00AD151D">
        <w:lastRenderedPageBreak/>
        <w:t xml:space="preserve">Although there was </w:t>
      </w:r>
      <w:r w:rsidR="00411CBB" w:rsidRPr="00AD151D">
        <w:t xml:space="preserve">slight </w:t>
      </w:r>
      <w:r w:rsidRPr="00AD151D">
        <w:t xml:space="preserve">overall decline in ExD </w:t>
      </w:r>
      <w:r w:rsidR="00C17159">
        <w:t xml:space="preserve">MW volumes </w:t>
      </w:r>
      <w:r w:rsidRPr="00AD151D">
        <w:t xml:space="preserve">between 2010 and 2011, certain reason categories saw </w:t>
      </w:r>
      <w:r w:rsidR="00F7362A">
        <w:t xml:space="preserve">significant </w:t>
      </w:r>
      <w:r w:rsidRPr="00AD151D">
        <w:t>increase</w:t>
      </w:r>
      <w:r w:rsidR="00C17159">
        <w:t>s</w:t>
      </w:r>
      <w:r w:rsidRPr="00AD151D">
        <w:t>.  In particular, the “Other” category</w:t>
      </w:r>
      <w:r w:rsidR="00C17159">
        <w:t xml:space="preserve"> increase was</w:t>
      </w:r>
      <w:r w:rsidRPr="00AD151D">
        <w:t xml:space="preserve"> driven by August, September</w:t>
      </w:r>
      <w:r w:rsidR="00B46BF4" w:rsidRPr="00AD151D">
        <w:t xml:space="preserve">, </w:t>
      </w:r>
      <w:r w:rsidRPr="00AD151D">
        <w:t xml:space="preserve">and October </w:t>
      </w:r>
      <w:r w:rsidR="00B46BF4" w:rsidRPr="00AD151D">
        <w:t xml:space="preserve">ExD related to </w:t>
      </w:r>
      <w:r w:rsidRPr="00AD151D">
        <w:t xml:space="preserve">“risk prediction” </w:t>
      </w:r>
      <w:r w:rsidR="00F7362A">
        <w:t xml:space="preserve">that </w:t>
      </w:r>
      <w:r w:rsidR="00C17159">
        <w:t>contribut</w:t>
      </w:r>
      <w:r w:rsidR="00F7362A">
        <w:t>ed</w:t>
      </w:r>
      <w:r w:rsidRPr="00AD151D">
        <w:t xml:space="preserve"> over 90,000 MWh </w:t>
      </w:r>
      <w:r w:rsidR="00F7362A">
        <w:t>to</w:t>
      </w:r>
      <w:r w:rsidR="00626007" w:rsidRPr="00AD151D">
        <w:t xml:space="preserve"> “Other”</w:t>
      </w:r>
      <w:r w:rsidRPr="00AD151D">
        <w:t xml:space="preserve">.  </w:t>
      </w:r>
    </w:p>
    <w:p w:rsidR="00AE7D50" w:rsidRPr="00AD151D" w:rsidRDefault="00411CBB" w:rsidP="00E657F3">
      <w:pPr>
        <w:widowControl w:val="0"/>
        <w:spacing w:before="120"/>
      </w:pPr>
      <w:r w:rsidRPr="00AD151D">
        <w:t xml:space="preserve">Software limitation and Dispatchability </w:t>
      </w:r>
      <w:r w:rsidR="00F7362A">
        <w:t>ExDs are</w:t>
      </w:r>
      <w:r w:rsidRPr="00AD151D">
        <w:t xml:space="preserve"> </w:t>
      </w:r>
      <w:r w:rsidR="00B414BC">
        <w:t>supplanting</w:t>
      </w:r>
      <w:r w:rsidR="00F7362A" w:rsidRPr="00AD151D">
        <w:t xml:space="preserve"> </w:t>
      </w:r>
      <w:r w:rsidRPr="00AD151D">
        <w:t xml:space="preserve">general system reliability as </w:t>
      </w:r>
      <w:r w:rsidR="00F7362A">
        <w:t xml:space="preserve">the main </w:t>
      </w:r>
      <w:r w:rsidR="00626007" w:rsidRPr="00AD151D">
        <w:t>r</w:t>
      </w:r>
      <w:r w:rsidRPr="00AD151D">
        <w:t>eason</w:t>
      </w:r>
      <w:r w:rsidR="00F7362A">
        <w:t>s</w:t>
      </w:r>
      <w:r w:rsidRPr="00AD151D">
        <w:t xml:space="preserve"> </w:t>
      </w:r>
      <w:r w:rsidR="00F7362A">
        <w:t>for resorting to</w:t>
      </w:r>
      <w:r w:rsidRPr="00AD151D">
        <w:t xml:space="preserve"> ExD.  </w:t>
      </w:r>
      <w:r w:rsidR="00AE7D50" w:rsidRPr="00AD151D">
        <w:t xml:space="preserve">CAISO market performance </w:t>
      </w:r>
      <w:r w:rsidR="00F7362A">
        <w:t xml:space="preserve">reports </w:t>
      </w:r>
      <w:r w:rsidR="00AE7D50" w:rsidRPr="00AD151D">
        <w:t xml:space="preserve">give more detail on the </w:t>
      </w:r>
      <w:r w:rsidR="00F7362A">
        <w:t xml:space="preserve">CAISO </w:t>
      </w:r>
      <w:r w:rsidR="00AE7D50" w:rsidRPr="00AD151D">
        <w:t xml:space="preserve">efforts to improve </w:t>
      </w:r>
      <w:r w:rsidR="003A0DD6" w:rsidRPr="00AD151D">
        <w:t xml:space="preserve">and to limit ExD but </w:t>
      </w:r>
      <w:r w:rsidR="00F7362A">
        <w:t xml:space="preserve">it appears </w:t>
      </w:r>
      <w:r w:rsidR="003A0DD6" w:rsidRPr="00AD151D">
        <w:t xml:space="preserve">significant issues remain.  </w:t>
      </w:r>
    </w:p>
    <w:p w:rsidR="00AE7D50" w:rsidRPr="00277DC8" w:rsidRDefault="00AE7D50">
      <w:pPr>
        <w:pStyle w:val="Heading2"/>
        <w:numPr>
          <w:ilvl w:val="1"/>
          <w:numId w:val="18"/>
        </w:numPr>
        <w:spacing w:before="120"/>
        <w:rPr>
          <w:i w:val="0"/>
        </w:rPr>
      </w:pPr>
      <w:bookmarkStart w:id="111" w:name="_Toc347827059"/>
      <w:r w:rsidRPr="00277DC8">
        <w:rPr>
          <w:i w:val="0"/>
        </w:rPr>
        <w:t>Reliability Must Run Designations</w:t>
      </w:r>
      <w:bookmarkEnd w:id="97"/>
      <w:bookmarkEnd w:id="98"/>
      <w:bookmarkEnd w:id="99"/>
      <w:bookmarkEnd w:id="100"/>
      <w:bookmarkEnd w:id="111"/>
      <w:r w:rsidRPr="00277DC8">
        <w:rPr>
          <w:i w:val="0"/>
        </w:rPr>
        <w:tab/>
      </w:r>
    </w:p>
    <w:p w:rsidR="00BB2D00" w:rsidRDefault="00AE7D50">
      <w:pPr>
        <w:spacing w:before="120"/>
        <w:ind w:firstLine="720"/>
      </w:pPr>
      <w:r w:rsidRPr="00AD151D">
        <w:t>Generating resources with existing RMR contracts must be redesignated by the CAISO for the next compliance year and presented to the CAISO Board of Governors for approval by October 1</w:t>
      </w:r>
      <w:r w:rsidRPr="00AD151D">
        <w:rPr>
          <w:vertAlign w:val="superscript"/>
        </w:rPr>
        <w:t>st</w:t>
      </w:r>
      <w:r w:rsidRPr="00AD151D">
        <w:t xml:space="preserve"> of each year. Designations for new RMR contracts are more flexible, and may arise during the relevant compliance year.  RMR resources are placed into two classes: Condition 1 contracts are allowed to operate in the energy market even if not dispatched by the CAISO for reliability purposes, and Condition 2 units are generally not allowed to operate in the energy market but are under the full dispatch of the CAISO for reliability purposes.  Both types of RMR contracts are paid for by all customers in the transmission area. </w:t>
      </w:r>
    </w:p>
    <w:p w:rsidR="00AE7D50" w:rsidRPr="00AD151D" w:rsidRDefault="00AE7D50">
      <w:pPr>
        <w:spacing w:before="120"/>
        <w:ind w:firstLine="720"/>
      </w:pPr>
      <w:r w:rsidRPr="00AD151D">
        <w:t>Condition 1 units are able to competitively earn revenue in the energy market in addition to the capacity payments under the RMR Agreement.</w:t>
      </w:r>
      <w:r w:rsidR="00BB2D00">
        <w:t xml:space="preserve">  </w:t>
      </w:r>
      <w:r w:rsidRPr="00AD151D">
        <w:t xml:space="preserve">In D.06-06-064 the CPUC ordered that capacity from Condition 1 RMR contracts to be allocated to LSEs to count </w:t>
      </w:r>
      <w:r w:rsidRPr="00AD151D">
        <w:rPr>
          <w:iCs/>
        </w:rPr>
        <w:t>only</w:t>
      </w:r>
      <w:r w:rsidRPr="00AD151D">
        <w:rPr>
          <w:i/>
        </w:rPr>
        <w:t xml:space="preserve"> </w:t>
      </w:r>
      <w:r w:rsidRPr="00AD151D">
        <w:t>towards the LSEs</w:t>
      </w:r>
      <w:r w:rsidR="004D53AC">
        <w:t>’</w:t>
      </w:r>
      <w:r w:rsidRPr="00AD151D">
        <w:t xml:space="preserve"> Local RA obligation, while Condition 2 RMR units may be counted towards both the System and Local RAR obligations.  Because they are able to participate in the market, Condition 1 units are allowed to sell their System RA credit to a third party, typically through a “wrap around” contract.  RMR units with RA contracts that set the fixed cost recovery via the RMR contract to $0 are not allocated to LSEs and are able to count towards the RAR of the LSE that has entered into wraparound RA contracts with them.  </w:t>
      </w:r>
    </w:p>
    <w:p w:rsidR="003878E0" w:rsidRDefault="00AE7D50">
      <w:pPr>
        <w:spacing w:before="120"/>
        <w:ind w:firstLine="720"/>
      </w:pPr>
      <w:r w:rsidRPr="00AD151D">
        <w:t>Pursuant to the stated policy preference of the Commission,</w:t>
      </w:r>
      <w:r w:rsidRPr="00AD151D">
        <w:rPr>
          <w:rStyle w:val="FootnoteReference"/>
        </w:rPr>
        <w:footnoteReference w:id="31"/>
      </w:r>
      <w:r w:rsidRPr="00AD151D">
        <w:t xml:space="preserve"> Local RA began to supplant RMR contracting for the 2007 compliance year and a significant decline was seen in 2007 RMR designations.  That trend continued through to the 2011 compliance year, where now there is only one remaining RMR contract with the Oakland Power Plant.  </w:t>
      </w:r>
      <w:r w:rsidR="00F27FC0" w:rsidRPr="00AD151D">
        <w:fldChar w:fldCharType="begin"/>
      </w:r>
      <w:r w:rsidR="00F27FC0" w:rsidRPr="00AD151D">
        <w:instrText xml:space="preserve"> REF _Ref224718007 \h  \* MERGEFORMAT </w:instrText>
      </w:r>
      <w:r w:rsidR="00F27FC0" w:rsidRPr="00AD151D">
        <w:fldChar w:fldCharType="separate"/>
      </w:r>
      <w:r w:rsidR="00B3535E" w:rsidRPr="00B3535E">
        <w:t xml:space="preserve">Table </w:t>
      </w:r>
      <w:r w:rsidR="00B3535E" w:rsidRPr="00B3535E">
        <w:rPr>
          <w:noProof/>
        </w:rPr>
        <w:t>14</w:t>
      </w:r>
      <w:r w:rsidR="00F27FC0" w:rsidRPr="00AD151D">
        <w:fldChar w:fldCharType="end"/>
      </w:r>
      <w:r w:rsidRPr="00AD151D">
        <w:rPr>
          <w:b/>
          <w:bCs/>
        </w:rPr>
        <w:t xml:space="preserve"> </w:t>
      </w:r>
      <w:r w:rsidRPr="00AD151D">
        <w:t>provides a summary of the CAISO’s 200</w:t>
      </w:r>
      <w:r w:rsidR="00F12A8E" w:rsidRPr="00AD151D">
        <w:t>9, 2010, and 2011</w:t>
      </w:r>
      <w:r w:rsidRPr="00AD151D">
        <w:t xml:space="preserve"> RMR designations</w:t>
      </w:r>
      <w:r w:rsidR="003878E0">
        <w:t xml:space="preserve"> and </w:t>
      </w:r>
      <w:r w:rsidR="006E392C">
        <w:t>y</w:t>
      </w:r>
      <w:r w:rsidR="003878E0">
        <w:t>ear</w:t>
      </w:r>
      <w:r w:rsidR="00630FCA">
        <w:t>-</w:t>
      </w:r>
      <w:r w:rsidR="006E392C">
        <w:t>o</w:t>
      </w:r>
      <w:r w:rsidR="003878E0">
        <w:t>ver</w:t>
      </w:r>
      <w:r w:rsidR="00630FCA">
        <w:t>-</w:t>
      </w:r>
      <w:r w:rsidR="006E392C">
        <w:t>y</w:t>
      </w:r>
      <w:r w:rsidR="003878E0">
        <w:t>ear decrease.</w:t>
      </w:r>
      <w:r w:rsidRPr="00AD151D">
        <w:t xml:space="preserve">  </w:t>
      </w:r>
    </w:p>
    <w:p w:rsidR="00AE7D50" w:rsidRPr="00AD151D" w:rsidRDefault="00AE7D50">
      <w:pPr>
        <w:spacing w:before="120"/>
        <w:ind w:firstLine="720"/>
      </w:pPr>
      <w:r w:rsidRPr="00AD151D">
        <w:t>Continuing that trend, units released from RMR contracts before or shortly into 2011 compliance year include:</w:t>
      </w:r>
    </w:p>
    <w:p w:rsidR="00AE7D50" w:rsidRPr="00AD151D" w:rsidRDefault="00AE7D50">
      <w:pPr>
        <w:numPr>
          <w:ilvl w:val="0"/>
          <w:numId w:val="33"/>
        </w:numPr>
      </w:pPr>
      <w:r w:rsidRPr="00AD151D">
        <w:t>The remaining South Bay Power Plant units</w:t>
      </w:r>
    </w:p>
    <w:p w:rsidR="00AE7D50" w:rsidRPr="00AD151D" w:rsidRDefault="00AE7D50">
      <w:pPr>
        <w:numPr>
          <w:ilvl w:val="0"/>
          <w:numId w:val="33"/>
        </w:numPr>
      </w:pPr>
      <w:r w:rsidRPr="00AD151D">
        <w:t>The entire Potrero Power Plant</w:t>
      </w:r>
    </w:p>
    <w:p w:rsidR="00AE7D50" w:rsidRPr="00AD151D" w:rsidRDefault="00AE7D50">
      <w:pPr>
        <w:numPr>
          <w:ilvl w:val="0"/>
          <w:numId w:val="33"/>
        </w:numPr>
      </w:pPr>
      <w:r w:rsidRPr="00AD151D">
        <w:t>Gilroy Energy Center units 1 and 2, Yuba City Energy Center, and Feather River Energy Center</w:t>
      </w:r>
    </w:p>
    <w:p w:rsidR="00AE7D50" w:rsidRPr="00AD151D" w:rsidRDefault="00AE7D50">
      <w:pPr>
        <w:tabs>
          <w:tab w:val="left" w:pos="3960"/>
        </w:tabs>
        <w:spacing w:before="120"/>
        <w:ind w:firstLine="720"/>
      </w:pPr>
    </w:p>
    <w:p w:rsidR="00AE7D50" w:rsidRPr="00AD151D" w:rsidRDefault="00AE7D50" w:rsidP="006645E2">
      <w:pPr>
        <w:pStyle w:val="Caption"/>
        <w:widowControl w:val="0"/>
        <w:tabs>
          <w:tab w:val="left" w:pos="3960"/>
        </w:tabs>
        <w:spacing w:before="120"/>
        <w:rPr>
          <w:sz w:val="22"/>
          <w:szCs w:val="22"/>
        </w:rPr>
      </w:pPr>
      <w:bookmarkStart w:id="112" w:name="_Ref224718007"/>
      <w:bookmarkStart w:id="113" w:name="_Toc258573801"/>
      <w:bookmarkStart w:id="114" w:name="_Toc347827084"/>
      <w:r w:rsidRPr="00AD151D">
        <w:rPr>
          <w:sz w:val="22"/>
          <w:szCs w:val="22"/>
        </w:rPr>
        <w:lastRenderedPageBreak/>
        <w:t xml:space="preserve">Table </w:t>
      </w:r>
      <w:r w:rsidRPr="00AD151D">
        <w:rPr>
          <w:sz w:val="22"/>
          <w:szCs w:val="22"/>
        </w:rPr>
        <w:fldChar w:fldCharType="begin"/>
      </w:r>
      <w:r w:rsidRPr="00AD151D">
        <w:rPr>
          <w:sz w:val="22"/>
          <w:szCs w:val="22"/>
        </w:rPr>
        <w:instrText xml:space="preserve"> SEQ Table \* ARABIC </w:instrText>
      </w:r>
      <w:r w:rsidRPr="00AD151D">
        <w:rPr>
          <w:sz w:val="22"/>
          <w:szCs w:val="22"/>
        </w:rPr>
        <w:fldChar w:fldCharType="separate"/>
      </w:r>
      <w:r w:rsidR="00B3535E">
        <w:rPr>
          <w:noProof/>
          <w:sz w:val="22"/>
          <w:szCs w:val="22"/>
        </w:rPr>
        <w:t>14</w:t>
      </w:r>
      <w:r w:rsidRPr="00AD151D">
        <w:rPr>
          <w:sz w:val="22"/>
          <w:szCs w:val="22"/>
        </w:rPr>
        <w:fldChar w:fldCharType="end"/>
      </w:r>
      <w:bookmarkEnd w:id="112"/>
      <w:r w:rsidRPr="00AD151D">
        <w:rPr>
          <w:sz w:val="22"/>
          <w:szCs w:val="22"/>
        </w:rPr>
        <w:t>. RMR designations and RMR allocations for 2008-2011</w:t>
      </w:r>
      <w:bookmarkEnd w:id="113"/>
      <w:bookmarkEnd w:id="114"/>
    </w:p>
    <w:tbl>
      <w:tblPr>
        <w:tblW w:w="8671" w:type="dxa"/>
        <w:tblInd w:w="98" w:type="dxa"/>
        <w:tblLook w:val="0000" w:firstRow="0" w:lastRow="0" w:firstColumn="0" w:lastColumn="0" w:noHBand="0" w:noVBand="0"/>
      </w:tblPr>
      <w:tblGrid>
        <w:gridCol w:w="681"/>
        <w:gridCol w:w="4549"/>
        <w:gridCol w:w="852"/>
        <w:gridCol w:w="644"/>
        <w:gridCol w:w="999"/>
        <w:gridCol w:w="946"/>
      </w:tblGrid>
      <w:tr w:rsidR="00AE7D50" w:rsidRPr="00AD151D" w:rsidTr="006F7ADC">
        <w:trPr>
          <w:trHeight w:val="375"/>
        </w:trPr>
        <w:tc>
          <w:tcPr>
            <w:tcW w:w="681" w:type="dxa"/>
            <w:tcBorders>
              <w:top w:val="single" w:sz="8" w:space="0" w:color="auto"/>
              <w:left w:val="single" w:sz="8" w:space="0" w:color="auto"/>
              <w:bottom w:val="single" w:sz="8" w:space="0" w:color="auto"/>
              <w:right w:val="single" w:sz="8" w:space="0" w:color="auto"/>
            </w:tcBorders>
            <w:vAlign w:val="center"/>
          </w:tcPr>
          <w:p w:rsidR="00AE7D50" w:rsidRPr="00AD151D" w:rsidRDefault="00AE7D50" w:rsidP="006645E2">
            <w:pPr>
              <w:widowControl w:val="0"/>
              <w:tabs>
                <w:tab w:val="left" w:pos="3960"/>
              </w:tabs>
              <w:rPr>
                <w:b/>
                <w:bCs/>
              </w:rPr>
            </w:pPr>
            <w:r w:rsidRPr="00AD151D">
              <w:rPr>
                <w:b/>
                <w:bCs/>
                <w:sz w:val="22"/>
                <w:szCs w:val="22"/>
              </w:rPr>
              <w:t>Year</w:t>
            </w:r>
          </w:p>
        </w:tc>
        <w:tc>
          <w:tcPr>
            <w:tcW w:w="4549" w:type="dxa"/>
            <w:tcBorders>
              <w:top w:val="single" w:sz="8" w:space="0" w:color="auto"/>
              <w:left w:val="nil"/>
              <w:bottom w:val="single" w:sz="8" w:space="0" w:color="auto"/>
              <w:right w:val="single" w:sz="8" w:space="0" w:color="auto"/>
            </w:tcBorders>
            <w:noWrap/>
            <w:vAlign w:val="center"/>
          </w:tcPr>
          <w:p w:rsidR="00AE7D50" w:rsidRPr="00AD151D" w:rsidRDefault="00AE7D50" w:rsidP="006645E2">
            <w:pPr>
              <w:widowControl w:val="0"/>
              <w:tabs>
                <w:tab w:val="left" w:pos="3960"/>
              </w:tabs>
              <w:rPr>
                <w:b/>
                <w:bCs/>
              </w:rPr>
            </w:pPr>
            <w:r w:rsidRPr="00AD151D">
              <w:rPr>
                <w:b/>
                <w:bCs/>
                <w:sz w:val="22"/>
                <w:szCs w:val="22"/>
              </w:rPr>
              <w:t> </w:t>
            </w:r>
          </w:p>
        </w:tc>
        <w:tc>
          <w:tcPr>
            <w:tcW w:w="852" w:type="dxa"/>
            <w:tcBorders>
              <w:top w:val="single" w:sz="8" w:space="0" w:color="auto"/>
              <w:left w:val="nil"/>
              <w:bottom w:val="single" w:sz="8" w:space="0" w:color="auto"/>
              <w:right w:val="single" w:sz="8" w:space="0" w:color="auto"/>
            </w:tcBorders>
            <w:noWrap/>
            <w:vAlign w:val="center"/>
          </w:tcPr>
          <w:p w:rsidR="00AE7D50" w:rsidRPr="00AD151D" w:rsidRDefault="00AE7D50" w:rsidP="006645E2">
            <w:pPr>
              <w:widowControl w:val="0"/>
              <w:tabs>
                <w:tab w:val="left" w:pos="3960"/>
              </w:tabs>
              <w:rPr>
                <w:b/>
                <w:bCs/>
              </w:rPr>
            </w:pPr>
            <w:r w:rsidRPr="00AD151D">
              <w:rPr>
                <w:b/>
                <w:bCs/>
                <w:sz w:val="22"/>
                <w:szCs w:val="22"/>
              </w:rPr>
              <w:t>PG&amp;E</w:t>
            </w:r>
          </w:p>
        </w:tc>
        <w:tc>
          <w:tcPr>
            <w:tcW w:w="644" w:type="dxa"/>
            <w:tcBorders>
              <w:top w:val="single" w:sz="8" w:space="0" w:color="auto"/>
              <w:left w:val="nil"/>
              <w:bottom w:val="single" w:sz="8" w:space="0" w:color="auto"/>
              <w:right w:val="single" w:sz="8" w:space="0" w:color="auto"/>
            </w:tcBorders>
            <w:noWrap/>
            <w:vAlign w:val="center"/>
          </w:tcPr>
          <w:p w:rsidR="00AE7D50" w:rsidRPr="00AD151D" w:rsidRDefault="00AE7D50" w:rsidP="006645E2">
            <w:pPr>
              <w:widowControl w:val="0"/>
              <w:tabs>
                <w:tab w:val="left" w:pos="3960"/>
              </w:tabs>
              <w:rPr>
                <w:b/>
                <w:bCs/>
              </w:rPr>
            </w:pPr>
            <w:r w:rsidRPr="00AD151D">
              <w:rPr>
                <w:b/>
                <w:bCs/>
                <w:sz w:val="22"/>
                <w:szCs w:val="22"/>
              </w:rPr>
              <w:t>SCE</w:t>
            </w:r>
          </w:p>
        </w:tc>
        <w:tc>
          <w:tcPr>
            <w:tcW w:w="999" w:type="dxa"/>
            <w:tcBorders>
              <w:top w:val="single" w:sz="8" w:space="0" w:color="auto"/>
              <w:left w:val="nil"/>
              <w:bottom w:val="single" w:sz="8" w:space="0" w:color="auto"/>
              <w:right w:val="single" w:sz="8" w:space="0" w:color="auto"/>
            </w:tcBorders>
            <w:noWrap/>
            <w:vAlign w:val="center"/>
          </w:tcPr>
          <w:p w:rsidR="00AE7D50" w:rsidRPr="00AD151D" w:rsidRDefault="00AE7D50" w:rsidP="006645E2">
            <w:pPr>
              <w:widowControl w:val="0"/>
              <w:tabs>
                <w:tab w:val="left" w:pos="3960"/>
              </w:tabs>
              <w:rPr>
                <w:b/>
                <w:bCs/>
              </w:rPr>
            </w:pPr>
            <w:r w:rsidRPr="00AD151D">
              <w:rPr>
                <w:b/>
                <w:bCs/>
                <w:sz w:val="22"/>
                <w:szCs w:val="22"/>
              </w:rPr>
              <w:t>SDG&amp;E</w:t>
            </w:r>
          </w:p>
        </w:tc>
        <w:tc>
          <w:tcPr>
            <w:tcW w:w="946" w:type="dxa"/>
            <w:tcBorders>
              <w:top w:val="single" w:sz="8" w:space="0" w:color="auto"/>
              <w:left w:val="nil"/>
              <w:bottom w:val="single" w:sz="8" w:space="0" w:color="auto"/>
              <w:right w:val="single" w:sz="8" w:space="0" w:color="auto"/>
            </w:tcBorders>
            <w:noWrap/>
            <w:vAlign w:val="center"/>
          </w:tcPr>
          <w:p w:rsidR="00AE7D50" w:rsidRPr="00AD151D" w:rsidRDefault="00AE7D50" w:rsidP="006645E2">
            <w:pPr>
              <w:widowControl w:val="0"/>
              <w:tabs>
                <w:tab w:val="left" w:pos="3960"/>
              </w:tabs>
              <w:rPr>
                <w:b/>
                <w:bCs/>
              </w:rPr>
            </w:pPr>
            <w:r w:rsidRPr="00AD151D">
              <w:rPr>
                <w:b/>
                <w:bCs/>
                <w:sz w:val="22"/>
                <w:szCs w:val="22"/>
              </w:rPr>
              <w:t>Total</w:t>
            </w:r>
          </w:p>
        </w:tc>
      </w:tr>
      <w:tr w:rsidR="00AE7D50" w:rsidRPr="00AD151D" w:rsidTr="006F7ADC">
        <w:trPr>
          <w:trHeight w:val="375"/>
        </w:trPr>
        <w:tc>
          <w:tcPr>
            <w:tcW w:w="681" w:type="dxa"/>
            <w:vMerge w:val="restart"/>
            <w:tcBorders>
              <w:top w:val="nil"/>
              <w:left w:val="single" w:sz="8" w:space="0" w:color="auto"/>
              <w:bottom w:val="single" w:sz="8" w:space="0" w:color="000000"/>
              <w:right w:val="single" w:sz="8" w:space="0" w:color="auto"/>
            </w:tcBorders>
            <w:vAlign w:val="center"/>
          </w:tcPr>
          <w:p w:rsidR="00AE7D50" w:rsidRPr="00AD151D" w:rsidRDefault="00AE7D50" w:rsidP="006645E2">
            <w:pPr>
              <w:widowControl w:val="0"/>
              <w:tabs>
                <w:tab w:val="left" w:pos="3960"/>
              </w:tabs>
              <w:rPr>
                <w:b/>
                <w:bCs/>
              </w:rPr>
            </w:pPr>
            <w:r w:rsidRPr="00AD151D">
              <w:rPr>
                <w:b/>
                <w:bCs/>
                <w:sz w:val="22"/>
                <w:szCs w:val="22"/>
              </w:rPr>
              <w:t>2009</w:t>
            </w:r>
          </w:p>
        </w:tc>
        <w:tc>
          <w:tcPr>
            <w:tcW w:w="4549" w:type="dxa"/>
            <w:tcBorders>
              <w:top w:val="nil"/>
              <w:left w:val="nil"/>
              <w:bottom w:val="single" w:sz="8" w:space="0" w:color="auto"/>
              <w:right w:val="single" w:sz="8" w:space="0" w:color="auto"/>
            </w:tcBorders>
            <w:noWrap/>
            <w:vAlign w:val="center"/>
          </w:tcPr>
          <w:p w:rsidR="00AE7D50" w:rsidRPr="00B07EDA" w:rsidRDefault="003878E0" w:rsidP="006645E2">
            <w:pPr>
              <w:widowControl w:val="0"/>
              <w:tabs>
                <w:tab w:val="left" w:pos="3960"/>
              </w:tabs>
              <w:rPr>
                <w:bCs/>
              </w:rPr>
            </w:pPr>
            <w:r w:rsidRPr="00B07EDA">
              <w:rPr>
                <w:bCs/>
                <w:sz w:val="22"/>
                <w:szCs w:val="22"/>
              </w:rPr>
              <w:t>Approved by</w:t>
            </w:r>
            <w:r w:rsidR="00AE7D50" w:rsidRPr="00B07EDA">
              <w:rPr>
                <w:bCs/>
                <w:sz w:val="22"/>
                <w:szCs w:val="22"/>
              </w:rPr>
              <w:t xml:space="preserve"> CAISO Board of Governors</w:t>
            </w:r>
          </w:p>
        </w:tc>
        <w:tc>
          <w:tcPr>
            <w:tcW w:w="852" w:type="dxa"/>
            <w:tcBorders>
              <w:top w:val="nil"/>
              <w:left w:val="nil"/>
              <w:bottom w:val="single" w:sz="8" w:space="0" w:color="auto"/>
              <w:right w:val="single" w:sz="8" w:space="0" w:color="auto"/>
            </w:tcBorders>
            <w:vAlign w:val="center"/>
          </w:tcPr>
          <w:p w:rsidR="00AE7D50" w:rsidRPr="00AD151D" w:rsidRDefault="00AE7D50" w:rsidP="006645E2">
            <w:pPr>
              <w:widowControl w:val="0"/>
              <w:tabs>
                <w:tab w:val="left" w:pos="3960"/>
              </w:tabs>
            </w:pPr>
            <w:r w:rsidRPr="00AD151D">
              <w:rPr>
                <w:sz w:val="22"/>
                <w:szCs w:val="22"/>
              </w:rPr>
              <w:t>1,263</w:t>
            </w:r>
          </w:p>
        </w:tc>
        <w:tc>
          <w:tcPr>
            <w:tcW w:w="644" w:type="dxa"/>
            <w:tcBorders>
              <w:top w:val="nil"/>
              <w:left w:val="nil"/>
              <w:bottom w:val="single" w:sz="8" w:space="0" w:color="auto"/>
              <w:right w:val="single" w:sz="8" w:space="0" w:color="auto"/>
            </w:tcBorders>
            <w:vAlign w:val="center"/>
          </w:tcPr>
          <w:p w:rsidR="00AE7D50" w:rsidRPr="00AD151D" w:rsidRDefault="00AE7D50" w:rsidP="006645E2">
            <w:pPr>
              <w:widowControl w:val="0"/>
              <w:tabs>
                <w:tab w:val="left" w:pos="3960"/>
              </w:tabs>
            </w:pPr>
            <w:r w:rsidRPr="00AD151D">
              <w:rPr>
                <w:sz w:val="22"/>
                <w:szCs w:val="22"/>
              </w:rPr>
              <w:t>0</w:t>
            </w:r>
          </w:p>
        </w:tc>
        <w:tc>
          <w:tcPr>
            <w:tcW w:w="999" w:type="dxa"/>
            <w:tcBorders>
              <w:top w:val="nil"/>
              <w:left w:val="nil"/>
              <w:bottom w:val="single" w:sz="8" w:space="0" w:color="auto"/>
              <w:right w:val="single" w:sz="8" w:space="0" w:color="auto"/>
            </w:tcBorders>
            <w:vAlign w:val="center"/>
          </w:tcPr>
          <w:p w:rsidR="00AE7D50" w:rsidRPr="00AD151D" w:rsidRDefault="00AE7D50" w:rsidP="006645E2">
            <w:pPr>
              <w:widowControl w:val="0"/>
              <w:tabs>
                <w:tab w:val="left" w:pos="3960"/>
              </w:tabs>
            </w:pPr>
            <w:r w:rsidRPr="00AD151D">
              <w:rPr>
                <w:sz w:val="22"/>
                <w:szCs w:val="22"/>
              </w:rPr>
              <w:t>979</w:t>
            </w:r>
          </w:p>
        </w:tc>
        <w:tc>
          <w:tcPr>
            <w:tcW w:w="946"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jc w:val="right"/>
              <w:rPr>
                <w:b/>
                <w:bCs/>
              </w:rPr>
            </w:pPr>
            <w:r w:rsidRPr="00AD151D">
              <w:rPr>
                <w:b/>
                <w:bCs/>
                <w:sz w:val="22"/>
                <w:szCs w:val="22"/>
              </w:rPr>
              <w:t>2,242</w:t>
            </w:r>
          </w:p>
        </w:tc>
      </w:tr>
      <w:tr w:rsidR="00AE7D50" w:rsidRPr="00AD151D" w:rsidTr="006F7ADC">
        <w:trPr>
          <w:trHeight w:val="375"/>
        </w:trPr>
        <w:tc>
          <w:tcPr>
            <w:tcW w:w="681" w:type="dxa"/>
            <w:vMerge/>
            <w:tcBorders>
              <w:top w:val="nil"/>
              <w:left w:val="single" w:sz="8" w:space="0" w:color="auto"/>
              <w:bottom w:val="single" w:sz="8" w:space="0" w:color="000000"/>
              <w:right w:val="single" w:sz="8" w:space="0" w:color="auto"/>
            </w:tcBorders>
            <w:vAlign w:val="center"/>
          </w:tcPr>
          <w:p w:rsidR="00AE7D50" w:rsidRPr="00AD151D" w:rsidRDefault="00AE7D50" w:rsidP="00B07EDA">
            <w:pPr>
              <w:widowControl w:val="0"/>
              <w:tabs>
                <w:tab w:val="left" w:pos="3960"/>
              </w:tabs>
              <w:rPr>
                <w:b/>
                <w:bCs/>
              </w:rPr>
            </w:pPr>
          </w:p>
        </w:tc>
        <w:tc>
          <w:tcPr>
            <w:tcW w:w="4549" w:type="dxa"/>
            <w:tcBorders>
              <w:top w:val="nil"/>
              <w:left w:val="nil"/>
              <w:bottom w:val="single" w:sz="8" w:space="0" w:color="auto"/>
              <w:right w:val="single" w:sz="8" w:space="0" w:color="auto"/>
            </w:tcBorders>
            <w:noWrap/>
            <w:vAlign w:val="center"/>
          </w:tcPr>
          <w:p w:rsidR="00AE7D50" w:rsidRPr="00B07EDA" w:rsidRDefault="00AE7D50" w:rsidP="00586B1F">
            <w:pPr>
              <w:widowControl w:val="0"/>
              <w:tabs>
                <w:tab w:val="left" w:pos="3960"/>
              </w:tabs>
              <w:rPr>
                <w:bCs/>
              </w:rPr>
            </w:pPr>
            <w:r w:rsidRPr="00B07EDA">
              <w:rPr>
                <w:bCs/>
                <w:sz w:val="22"/>
                <w:szCs w:val="22"/>
              </w:rPr>
              <w:t xml:space="preserve">Local RMR </w:t>
            </w:r>
            <w:r w:rsidR="00586B1F">
              <w:rPr>
                <w:bCs/>
                <w:sz w:val="22"/>
                <w:szCs w:val="22"/>
              </w:rPr>
              <w:t>A</w:t>
            </w:r>
            <w:r w:rsidRPr="00B07EDA">
              <w:rPr>
                <w:bCs/>
                <w:sz w:val="22"/>
                <w:szCs w:val="22"/>
              </w:rPr>
              <w:t>llocations</w:t>
            </w:r>
            <w:r w:rsidR="00586B1F">
              <w:rPr>
                <w:bCs/>
                <w:sz w:val="22"/>
                <w:szCs w:val="22"/>
              </w:rPr>
              <w:t xml:space="preserve"> Executed</w:t>
            </w:r>
          </w:p>
        </w:tc>
        <w:tc>
          <w:tcPr>
            <w:tcW w:w="852"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pPr>
            <w:r w:rsidRPr="00AD151D">
              <w:rPr>
                <w:sz w:val="22"/>
                <w:szCs w:val="22"/>
              </w:rPr>
              <w:t>709</w:t>
            </w:r>
          </w:p>
        </w:tc>
        <w:tc>
          <w:tcPr>
            <w:tcW w:w="644"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pPr>
            <w:r w:rsidRPr="00AD151D">
              <w:rPr>
                <w:sz w:val="22"/>
                <w:szCs w:val="22"/>
              </w:rPr>
              <w:t>0</w:t>
            </w:r>
          </w:p>
        </w:tc>
        <w:tc>
          <w:tcPr>
            <w:tcW w:w="999"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pPr>
            <w:r w:rsidRPr="00AD151D">
              <w:rPr>
                <w:sz w:val="22"/>
                <w:szCs w:val="22"/>
              </w:rPr>
              <w:t>132</w:t>
            </w:r>
          </w:p>
        </w:tc>
        <w:tc>
          <w:tcPr>
            <w:tcW w:w="946"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jc w:val="right"/>
              <w:rPr>
                <w:b/>
                <w:bCs/>
              </w:rPr>
            </w:pPr>
            <w:r w:rsidRPr="00AD151D">
              <w:rPr>
                <w:b/>
                <w:bCs/>
                <w:sz w:val="22"/>
                <w:szCs w:val="22"/>
              </w:rPr>
              <w:t>841</w:t>
            </w:r>
          </w:p>
        </w:tc>
      </w:tr>
      <w:tr w:rsidR="00AE7D50" w:rsidRPr="00AD151D" w:rsidTr="006F7ADC">
        <w:trPr>
          <w:trHeight w:val="375"/>
        </w:trPr>
        <w:tc>
          <w:tcPr>
            <w:tcW w:w="681" w:type="dxa"/>
            <w:vMerge/>
            <w:tcBorders>
              <w:top w:val="nil"/>
              <w:left w:val="single" w:sz="8" w:space="0" w:color="auto"/>
              <w:bottom w:val="single" w:sz="8" w:space="0" w:color="000000"/>
              <w:right w:val="single" w:sz="8" w:space="0" w:color="auto"/>
            </w:tcBorders>
            <w:vAlign w:val="center"/>
          </w:tcPr>
          <w:p w:rsidR="00AE7D50" w:rsidRPr="00AD151D" w:rsidRDefault="00AE7D50" w:rsidP="00B07EDA">
            <w:pPr>
              <w:widowControl w:val="0"/>
              <w:tabs>
                <w:tab w:val="left" w:pos="3960"/>
              </w:tabs>
              <w:rPr>
                <w:b/>
                <w:bCs/>
              </w:rPr>
            </w:pPr>
          </w:p>
        </w:tc>
        <w:tc>
          <w:tcPr>
            <w:tcW w:w="4549"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rPr>
                <w:b/>
                <w:bCs/>
              </w:rPr>
            </w:pPr>
            <w:r w:rsidRPr="00AD151D">
              <w:rPr>
                <w:b/>
                <w:bCs/>
                <w:sz w:val="22"/>
                <w:szCs w:val="22"/>
              </w:rPr>
              <w:t>Difference in CAISO designations from previous year</w:t>
            </w:r>
          </w:p>
        </w:tc>
        <w:tc>
          <w:tcPr>
            <w:tcW w:w="852"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rPr>
                <w:b/>
                <w:bCs/>
              </w:rPr>
            </w:pPr>
            <w:r w:rsidRPr="00AD151D">
              <w:rPr>
                <w:b/>
                <w:bCs/>
                <w:sz w:val="22"/>
                <w:szCs w:val="22"/>
              </w:rPr>
              <w:t>(40)</w:t>
            </w:r>
          </w:p>
        </w:tc>
        <w:tc>
          <w:tcPr>
            <w:tcW w:w="644"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rPr>
                <w:b/>
                <w:bCs/>
              </w:rPr>
            </w:pPr>
            <w:r w:rsidRPr="00AD151D">
              <w:rPr>
                <w:b/>
                <w:bCs/>
                <w:sz w:val="22"/>
                <w:szCs w:val="22"/>
              </w:rPr>
              <w:t>0</w:t>
            </w:r>
          </w:p>
        </w:tc>
        <w:tc>
          <w:tcPr>
            <w:tcW w:w="999"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rPr>
                <w:b/>
                <w:bCs/>
              </w:rPr>
            </w:pPr>
            <w:r w:rsidRPr="00AD151D">
              <w:rPr>
                <w:b/>
                <w:bCs/>
                <w:sz w:val="22"/>
                <w:szCs w:val="22"/>
              </w:rPr>
              <w:t>(982)</w:t>
            </w:r>
          </w:p>
        </w:tc>
        <w:tc>
          <w:tcPr>
            <w:tcW w:w="946"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jc w:val="center"/>
              <w:rPr>
                <w:b/>
                <w:bCs/>
              </w:rPr>
            </w:pPr>
            <w:r w:rsidRPr="00AD151D">
              <w:rPr>
                <w:b/>
                <w:bCs/>
                <w:sz w:val="22"/>
                <w:szCs w:val="22"/>
              </w:rPr>
              <w:t>(1,022)</w:t>
            </w:r>
          </w:p>
        </w:tc>
      </w:tr>
      <w:tr w:rsidR="00AE7D50" w:rsidRPr="00AD151D" w:rsidTr="006F7ADC">
        <w:trPr>
          <w:trHeight w:val="375"/>
        </w:trPr>
        <w:tc>
          <w:tcPr>
            <w:tcW w:w="681" w:type="dxa"/>
            <w:vMerge w:val="restart"/>
            <w:tcBorders>
              <w:top w:val="nil"/>
              <w:left w:val="single" w:sz="8" w:space="0" w:color="auto"/>
              <w:bottom w:val="single" w:sz="8" w:space="0" w:color="000000"/>
              <w:right w:val="single" w:sz="8" w:space="0" w:color="auto"/>
            </w:tcBorders>
            <w:vAlign w:val="center"/>
          </w:tcPr>
          <w:p w:rsidR="00AE7D50" w:rsidRPr="00AD151D" w:rsidRDefault="00AE7D50" w:rsidP="006645E2">
            <w:pPr>
              <w:widowControl w:val="0"/>
              <w:tabs>
                <w:tab w:val="left" w:pos="3960"/>
              </w:tabs>
              <w:rPr>
                <w:b/>
                <w:bCs/>
              </w:rPr>
            </w:pPr>
            <w:r w:rsidRPr="00AD151D">
              <w:rPr>
                <w:b/>
                <w:bCs/>
                <w:sz w:val="22"/>
                <w:szCs w:val="22"/>
              </w:rPr>
              <w:t>2010</w:t>
            </w:r>
          </w:p>
        </w:tc>
        <w:tc>
          <w:tcPr>
            <w:tcW w:w="4549" w:type="dxa"/>
            <w:tcBorders>
              <w:top w:val="nil"/>
              <w:left w:val="nil"/>
              <w:bottom w:val="single" w:sz="8" w:space="0" w:color="auto"/>
              <w:right w:val="single" w:sz="8" w:space="0" w:color="auto"/>
            </w:tcBorders>
            <w:noWrap/>
            <w:vAlign w:val="center"/>
          </w:tcPr>
          <w:p w:rsidR="00AE7D50" w:rsidRPr="00B07EDA" w:rsidRDefault="003878E0" w:rsidP="006645E2">
            <w:pPr>
              <w:widowControl w:val="0"/>
              <w:tabs>
                <w:tab w:val="left" w:pos="3960"/>
              </w:tabs>
              <w:rPr>
                <w:bCs/>
              </w:rPr>
            </w:pPr>
            <w:r w:rsidRPr="00B07EDA">
              <w:rPr>
                <w:bCs/>
                <w:sz w:val="22"/>
                <w:szCs w:val="22"/>
              </w:rPr>
              <w:t>Approved by</w:t>
            </w:r>
            <w:r w:rsidR="00AE7D50" w:rsidRPr="00B07EDA">
              <w:rPr>
                <w:bCs/>
                <w:sz w:val="22"/>
                <w:szCs w:val="22"/>
              </w:rPr>
              <w:t xml:space="preserve"> CAISO Board of Governors</w:t>
            </w:r>
          </w:p>
        </w:tc>
        <w:tc>
          <w:tcPr>
            <w:tcW w:w="852" w:type="dxa"/>
            <w:tcBorders>
              <w:top w:val="nil"/>
              <w:left w:val="nil"/>
              <w:bottom w:val="single" w:sz="8" w:space="0" w:color="auto"/>
              <w:right w:val="single" w:sz="8" w:space="0" w:color="auto"/>
            </w:tcBorders>
            <w:noWrap/>
            <w:vAlign w:val="center"/>
          </w:tcPr>
          <w:p w:rsidR="00AE7D50" w:rsidRPr="00AD151D" w:rsidRDefault="00AE7D50" w:rsidP="006645E2">
            <w:pPr>
              <w:widowControl w:val="0"/>
              <w:tabs>
                <w:tab w:val="left" w:pos="3960"/>
              </w:tabs>
            </w:pPr>
            <w:r w:rsidRPr="00AD151D">
              <w:rPr>
                <w:sz w:val="22"/>
                <w:szCs w:val="22"/>
              </w:rPr>
              <w:t>709</w:t>
            </w:r>
          </w:p>
        </w:tc>
        <w:tc>
          <w:tcPr>
            <w:tcW w:w="644" w:type="dxa"/>
            <w:tcBorders>
              <w:top w:val="nil"/>
              <w:left w:val="nil"/>
              <w:bottom w:val="single" w:sz="8" w:space="0" w:color="auto"/>
              <w:right w:val="single" w:sz="8" w:space="0" w:color="auto"/>
            </w:tcBorders>
            <w:noWrap/>
            <w:vAlign w:val="center"/>
          </w:tcPr>
          <w:p w:rsidR="00AE7D50" w:rsidRPr="00AD151D" w:rsidRDefault="00AE7D50" w:rsidP="006645E2">
            <w:pPr>
              <w:widowControl w:val="0"/>
              <w:tabs>
                <w:tab w:val="left" w:pos="3960"/>
              </w:tabs>
            </w:pPr>
            <w:r w:rsidRPr="00AD151D">
              <w:rPr>
                <w:sz w:val="22"/>
                <w:szCs w:val="22"/>
              </w:rPr>
              <w:t>0</w:t>
            </w:r>
          </w:p>
        </w:tc>
        <w:tc>
          <w:tcPr>
            <w:tcW w:w="999" w:type="dxa"/>
            <w:tcBorders>
              <w:top w:val="nil"/>
              <w:left w:val="nil"/>
              <w:bottom w:val="single" w:sz="8" w:space="0" w:color="auto"/>
              <w:right w:val="single" w:sz="8" w:space="0" w:color="auto"/>
            </w:tcBorders>
            <w:noWrap/>
            <w:vAlign w:val="center"/>
          </w:tcPr>
          <w:p w:rsidR="00AE7D50" w:rsidRPr="00AD151D" w:rsidRDefault="00AE7D50" w:rsidP="006645E2">
            <w:pPr>
              <w:widowControl w:val="0"/>
              <w:tabs>
                <w:tab w:val="left" w:pos="3960"/>
              </w:tabs>
            </w:pPr>
            <w:r w:rsidRPr="00AD151D">
              <w:rPr>
                <w:sz w:val="22"/>
                <w:szCs w:val="22"/>
              </w:rPr>
              <w:t>311</w:t>
            </w:r>
          </w:p>
        </w:tc>
        <w:tc>
          <w:tcPr>
            <w:tcW w:w="946"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jc w:val="right"/>
              <w:rPr>
                <w:b/>
                <w:bCs/>
              </w:rPr>
            </w:pPr>
            <w:r w:rsidRPr="00AD151D">
              <w:rPr>
                <w:b/>
                <w:bCs/>
                <w:sz w:val="22"/>
                <w:szCs w:val="22"/>
              </w:rPr>
              <w:t>1,020</w:t>
            </w:r>
          </w:p>
        </w:tc>
      </w:tr>
      <w:tr w:rsidR="00AE7D50" w:rsidRPr="00AD151D" w:rsidTr="006F7ADC">
        <w:trPr>
          <w:trHeight w:val="375"/>
        </w:trPr>
        <w:tc>
          <w:tcPr>
            <w:tcW w:w="681" w:type="dxa"/>
            <w:vMerge/>
            <w:tcBorders>
              <w:top w:val="nil"/>
              <w:left w:val="single" w:sz="8" w:space="0" w:color="auto"/>
              <w:bottom w:val="single" w:sz="8" w:space="0" w:color="000000"/>
              <w:right w:val="single" w:sz="8" w:space="0" w:color="auto"/>
            </w:tcBorders>
            <w:vAlign w:val="center"/>
          </w:tcPr>
          <w:p w:rsidR="00AE7D50" w:rsidRPr="00AD151D" w:rsidRDefault="00AE7D50" w:rsidP="00B07EDA">
            <w:pPr>
              <w:widowControl w:val="0"/>
              <w:tabs>
                <w:tab w:val="left" w:pos="3960"/>
              </w:tabs>
              <w:rPr>
                <w:b/>
                <w:bCs/>
              </w:rPr>
            </w:pPr>
          </w:p>
        </w:tc>
        <w:tc>
          <w:tcPr>
            <w:tcW w:w="4549" w:type="dxa"/>
            <w:tcBorders>
              <w:top w:val="nil"/>
              <w:left w:val="nil"/>
              <w:bottom w:val="single" w:sz="8" w:space="0" w:color="auto"/>
              <w:right w:val="single" w:sz="8" w:space="0" w:color="auto"/>
            </w:tcBorders>
            <w:noWrap/>
            <w:vAlign w:val="center"/>
          </w:tcPr>
          <w:p w:rsidR="00AE7D50" w:rsidRPr="00B07EDA" w:rsidRDefault="00586B1F" w:rsidP="00B07EDA">
            <w:pPr>
              <w:widowControl w:val="0"/>
              <w:tabs>
                <w:tab w:val="left" w:pos="3960"/>
              </w:tabs>
              <w:rPr>
                <w:bCs/>
              </w:rPr>
            </w:pPr>
            <w:r w:rsidRPr="00B07EDA">
              <w:rPr>
                <w:bCs/>
                <w:sz w:val="22"/>
                <w:szCs w:val="22"/>
              </w:rPr>
              <w:t xml:space="preserve">Local RMR </w:t>
            </w:r>
            <w:r>
              <w:rPr>
                <w:bCs/>
                <w:sz w:val="22"/>
                <w:szCs w:val="22"/>
              </w:rPr>
              <w:t>A</w:t>
            </w:r>
            <w:r w:rsidRPr="00B07EDA">
              <w:rPr>
                <w:bCs/>
                <w:sz w:val="22"/>
                <w:szCs w:val="22"/>
              </w:rPr>
              <w:t>llocations</w:t>
            </w:r>
            <w:r>
              <w:rPr>
                <w:bCs/>
                <w:sz w:val="22"/>
                <w:szCs w:val="22"/>
              </w:rPr>
              <w:t xml:space="preserve"> Executed</w:t>
            </w:r>
          </w:p>
        </w:tc>
        <w:tc>
          <w:tcPr>
            <w:tcW w:w="852"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pPr>
            <w:r w:rsidRPr="00AD151D">
              <w:rPr>
                <w:sz w:val="22"/>
                <w:szCs w:val="22"/>
              </w:rPr>
              <w:t>709</w:t>
            </w:r>
          </w:p>
        </w:tc>
        <w:tc>
          <w:tcPr>
            <w:tcW w:w="644"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pPr>
            <w:r w:rsidRPr="00AD151D">
              <w:rPr>
                <w:sz w:val="22"/>
                <w:szCs w:val="22"/>
              </w:rPr>
              <w:t>0</w:t>
            </w:r>
          </w:p>
        </w:tc>
        <w:tc>
          <w:tcPr>
            <w:tcW w:w="999"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pPr>
            <w:r w:rsidRPr="00AD151D">
              <w:rPr>
                <w:sz w:val="22"/>
                <w:szCs w:val="22"/>
              </w:rPr>
              <w:t>311</w:t>
            </w:r>
          </w:p>
        </w:tc>
        <w:tc>
          <w:tcPr>
            <w:tcW w:w="946"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jc w:val="right"/>
              <w:rPr>
                <w:b/>
                <w:bCs/>
              </w:rPr>
            </w:pPr>
            <w:r w:rsidRPr="00AD151D">
              <w:rPr>
                <w:b/>
                <w:bCs/>
                <w:sz w:val="22"/>
                <w:szCs w:val="22"/>
              </w:rPr>
              <w:t>1,020</w:t>
            </w:r>
          </w:p>
        </w:tc>
      </w:tr>
      <w:tr w:rsidR="00AE7D50" w:rsidRPr="00AD151D" w:rsidTr="006F7ADC">
        <w:trPr>
          <w:trHeight w:val="375"/>
        </w:trPr>
        <w:tc>
          <w:tcPr>
            <w:tcW w:w="681" w:type="dxa"/>
            <w:vMerge/>
            <w:tcBorders>
              <w:top w:val="nil"/>
              <w:left w:val="single" w:sz="8" w:space="0" w:color="auto"/>
              <w:bottom w:val="single" w:sz="8" w:space="0" w:color="000000"/>
              <w:right w:val="single" w:sz="8" w:space="0" w:color="auto"/>
            </w:tcBorders>
            <w:vAlign w:val="center"/>
          </w:tcPr>
          <w:p w:rsidR="00AE7D50" w:rsidRPr="00AD151D" w:rsidRDefault="00AE7D50" w:rsidP="00B07EDA">
            <w:pPr>
              <w:widowControl w:val="0"/>
              <w:tabs>
                <w:tab w:val="left" w:pos="3960"/>
              </w:tabs>
              <w:rPr>
                <w:b/>
                <w:bCs/>
              </w:rPr>
            </w:pPr>
          </w:p>
        </w:tc>
        <w:tc>
          <w:tcPr>
            <w:tcW w:w="4549"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rPr>
                <w:b/>
                <w:bCs/>
              </w:rPr>
            </w:pPr>
            <w:r w:rsidRPr="00AD151D">
              <w:rPr>
                <w:b/>
                <w:bCs/>
                <w:sz w:val="22"/>
                <w:szCs w:val="22"/>
              </w:rPr>
              <w:t>Difference in CAISO designations from previous year</w:t>
            </w:r>
          </w:p>
        </w:tc>
        <w:tc>
          <w:tcPr>
            <w:tcW w:w="852"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rPr>
                <w:b/>
                <w:bCs/>
              </w:rPr>
            </w:pPr>
            <w:r w:rsidRPr="00AD151D">
              <w:rPr>
                <w:b/>
                <w:bCs/>
                <w:sz w:val="22"/>
                <w:szCs w:val="22"/>
              </w:rPr>
              <w:t>(554)</w:t>
            </w:r>
          </w:p>
        </w:tc>
        <w:tc>
          <w:tcPr>
            <w:tcW w:w="644"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rPr>
                <w:b/>
                <w:bCs/>
              </w:rPr>
            </w:pPr>
            <w:r w:rsidRPr="00AD151D">
              <w:rPr>
                <w:b/>
                <w:bCs/>
                <w:sz w:val="22"/>
                <w:szCs w:val="22"/>
              </w:rPr>
              <w:t>0</w:t>
            </w:r>
          </w:p>
        </w:tc>
        <w:tc>
          <w:tcPr>
            <w:tcW w:w="999"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rPr>
                <w:b/>
                <w:bCs/>
              </w:rPr>
            </w:pPr>
            <w:r w:rsidRPr="00AD151D">
              <w:rPr>
                <w:b/>
                <w:bCs/>
                <w:sz w:val="22"/>
                <w:szCs w:val="22"/>
              </w:rPr>
              <w:t>(668)</w:t>
            </w:r>
          </w:p>
        </w:tc>
        <w:tc>
          <w:tcPr>
            <w:tcW w:w="946" w:type="dxa"/>
            <w:tcBorders>
              <w:top w:val="nil"/>
              <w:left w:val="nil"/>
              <w:bottom w:val="single" w:sz="8" w:space="0" w:color="auto"/>
              <w:right w:val="single" w:sz="8" w:space="0" w:color="auto"/>
            </w:tcBorders>
            <w:noWrap/>
            <w:vAlign w:val="center"/>
          </w:tcPr>
          <w:p w:rsidR="00AE7D50" w:rsidRPr="00AD151D" w:rsidRDefault="00AE7D50" w:rsidP="00B07EDA">
            <w:pPr>
              <w:widowControl w:val="0"/>
              <w:tabs>
                <w:tab w:val="left" w:pos="3960"/>
              </w:tabs>
              <w:jc w:val="center"/>
              <w:rPr>
                <w:b/>
                <w:bCs/>
              </w:rPr>
            </w:pPr>
            <w:r w:rsidRPr="00AD151D">
              <w:rPr>
                <w:b/>
                <w:bCs/>
                <w:sz w:val="22"/>
                <w:szCs w:val="22"/>
              </w:rPr>
              <w:t>(1,222)</w:t>
            </w:r>
          </w:p>
        </w:tc>
      </w:tr>
      <w:tr w:rsidR="00F12A8E" w:rsidRPr="00AD151D" w:rsidTr="006F7ADC">
        <w:trPr>
          <w:trHeight w:val="375"/>
        </w:trPr>
        <w:tc>
          <w:tcPr>
            <w:tcW w:w="681" w:type="dxa"/>
            <w:vMerge w:val="restart"/>
            <w:tcBorders>
              <w:top w:val="nil"/>
              <w:left w:val="single" w:sz="8" w:space="0" w:color="auto"/>
              <w:bottom w:val="single" w:sz="8" w:space="0" w:color="000000"/>
              <w:right w:val="single" w:sz="8" w:space="0" w:color="auto"/>
            </w:tcBorders>
            <w:vAlign w:val="center"/>
          </w:tcPr>
          <w:p w:rsidR="00F12A8E" w:rsidRPr="00AD151D" w:rsidRDefault="00F12A8E" w:rsidP="006645E2">
            <w:pPr>
              <w:widowControl w:val="0"/>
              <w:tabs>
                <w:tab w:val="left" w:pos="3960"/>
              </w:tabs>
              <w:rPr>
                <w:b/>
                <w:bCs/>
              </w:rPr>
            </w:pPr>
            <w:r w:rsidRPr="00AD151D">
              <w:rPr>
                <w:b/>
                <w:bCs/>
                <w:sz w:val="22"/>
                <w:szCs w:val="22"/>
              </w:rPr>
              <w:t>2011</w:t>
            </w:r>
          </w:p>
        </w:tc>
        <w:tc>
          <w:tcPr>
            <w:tcW w:w="4549" w:type="dxa"/>
            <w:tcBorders>
              <w:top w:val="nil"/>
              <w:left w:val="nil"/>
              <w:bottom w:val="single" w:sz="8" w:space="0" w:color="auto"/>
              <w:right w:val="single" w:sz="8" w:space="0" w:color="auto"/>
            </w:tcBorders>
            <w:noWrap/>
            <w:vAlign w:val="center"/>
          </w:tcPr>
          <w:p w:rsidR="00F12A8E" w:rsidRPr="00B07EDA" w:rsidRDefault="003878E0" w:rsidP="006645E2">
            <w:pPr>
              <w:widowControl w:val="0"/>
              <w:tabs>
                <w:tab w:val="left" w:pos="3960"/>
              </w:tabs>
              <w:rPr>
                <w:bCs/>
                <w:sz w:val="22"/>
                <w:szCs w:val="22"/>
              </w:rPr>
            </w:pPr>
            <w:r w:rsidRPr="00B07EDA">
              <w:rPr>
                <w:bCs/>
                <w:sz w:val="22"/>
                <w:szCs w:val="22"/>
              </w:rPr>
              <w:t>Approved by</w:t>
            </w:r>
            <w:r w:rsidR="00F12A8E" w:rsidRPr="00B07EDA">
              <w:rPr>
                <w:bCs/>
                <w:sz w:val="22"/>
                <w:szCs w:val="22"/>
              </w:rPr>
              <w:t xml:space="preserve"> CAISO Board of Governors</w:t>
            </w:r>
          </w:p>
        </w:tc>
        <w:tc>
          <w:tcPr>
            <w:tcW w:w="852" w:type="dxa"/>
            <w:tcBorders>
              <w:top w:val="nil"/>
              <w:left w:val="nil"/>
              <w:bottom w:val="single" w:sz="8" w:space="0" w:color="auto"/>
              <w:right w:val="single" w:sz="8" w:space="0" w:color="auto"/>
            </w:tcBorders>
            <w:noWrap/>
            <w:vAlign w:val="center"/>
          </w:tcPr>
          <w:p w:rsidR="00F12A8E" w:rsidRPr="00B07EDA" w:rsidRDefault="00F12A8E" w:rsidP="006645E2">
            <w:pPr>
              <w:widowControl w:val="0"/>
              <w:rPr>
                <w:sz w:val="22"/>
                <w:szCs w:val="22"/>
              </w:rPr>
            </w:pPr>
            <w:r w:rsidRPr="00B07EDA">
              <w:rPr>
                <w:sz w:val="22"/>
                <w:szCs w:val="22"/>
              </w:rPr>
              <w:t>165</w:t>
            </w:r>
          </w:p>
        </w:tc>
        <w:tc>
          <w:tcPr>
            <w:tcW w:w="644" w:type="dxa"/>
            <w:tcBorders>
              <w:top w:val="nil"/>
              <w:left w:val="nil"/>
              <w:bottom w:val="single" w:sz="8" w:space="0" w:color="auto"/>
              <w:right w:val="single" w:sz="8" w:space="0" w:color="auto"/>
            </w:tcBorders>
            <w:noWrap/>
            <w:vAlign w:val="center"/>
          </w:tcPr>
          <w:p w:rsidR="00F12A8E" w:rsidRPr="00B07EDA" w:rsidRDefault="00F12A8E" w:rsidP="006645E2">
            <w:pPr>
              <w:widowControl w:val="0"/>
              <w:rPr>
                <w:sz w:val="22"/>
                <w:szCs w:val="22"/>
              </w:rPr>
            </w:pPr>
            <w:r w:rsidRPr="00B07EDA">
              <w:rPr>
                <w:sz w:val="22"/>
                <w:szCs w:val="22"/>
              </w:rPr>
              <w:t>0</w:t>
            </w:r>
          </w:p>
        </w:tc>
        <w:tc>
          <w:tcPr>
            <w:tcW w:w="999" w:type="dxa"/>
            <w:tcBorders>
              <w:top w:val="nil"/>
              <w:left w:val="nil"/>
              <w:bottom w:val="single" w:sz="8" w:space="0" w:color="auto"/>
              <w:right w:val="single" w:sz="8" w:space="0" w:color="auto"/>
            </w:tcBorders>
            <w:noWrap/>
            <w:vAlign w:val="center"/>
          </w:tcPr>
          <w:p w:rsidR="00F12A8E" w:rsidRPr="00B07EDA" w:rsidRDefault="00F12A8E" w:rsidP="006645E2">
            <w:pPr>
              <w:widowControl w:val="0"/>
              <w:rPr>
                <w:sz w:val="22"/>
                <w:szCs w:val="22"/>
              </w:rPr>
            </w:pPr>
            <w:r w:rsidRPr="00B07EDA">
              <w:rPr>
                <w:sz w:val="22"/>
                <w:szCs w:val="22"/>
              </w:rPr>
              <w:t>0</w:t>
            </w:r>
          </w:p>
        </w:tc>
        <w:tc>
          <w:tcPr>
            <w:tcW w:w="946" w:type="dxa"/>
            <w:tcBorders>
              <w:top w:val="nil"/>
              <w:left w:val="nil"/>
              <w:bottom w:val="single" w:sz="8" w:space="0" w:color="auto"/>
              <w:right w:val="single" w:sz="8" w:space="0" w:color="auto"/>
            </w:tcBorders>
            <w:noWrap/>
            <w:vAlign w:val="center"/>
          </w:tcPr>
          <w:p w:rsidR="00F12A8E" w:rsidRPr="00B07EDA" w:rsidRDefault="00F12A8E" w:rsidP="00B07EDA">
            <w:pPr>
              <w:widowControl w:val="0"/>
              <w:jc w:val="right"/>
              <w:rPr>
                <w:b/>
                <w:bCs/>
                <w:sz w:val="22"/>
                <w:szCs w:val="22"/>
              </w:rPr>
            </w:pPr>
            <w:r w:rsidRPr="00B07EDA">
              <w:rPr>
                <w:b/>
                <w:bCs/>
                <w:sz w:val="22"/>
                <w:szCs w:val="22"/>
              </w:rPr>
              <w:t>165</w:t>
            </w:r>
          </w:p>
        </w:tc>
      </w:tr>
      <w:tr w:rsidR="00F12A8E" w:rsidRPr="00AD151D" w:rsidTr="006F7ADC">
        <w:trPr>
          <w:trHeight w:val="375"/>
        </w:trPr>
        <w:tc>
          <w:tcPr>
            <w:tcW w:w="681" w:type="dxa"/>
            <w:vMerge/>
            <w:tcBorders>
              <w:top w:val="nil"/>
              <w:left w:val="single" w:sz="8" w:space="0" w:color="auto"/>
              <w:bottom w:val="single" w:sz="8" w:space="0" w:color="000000"/>
              <w:right w:val="single" w:sz="8" w:space="0" w:color="auto"/>
            </w:tcBorders>
            <w:vAlign w:val="center"/>
          </w:tcPr>
          <w:p w:rsidR="00F12A8E" w:rsidRPr="00AD151D" w:rsidRDefault="00F12A8E" w:rsidP="006645E2">
            <w:pPr>
              <w:widowControl w:val="0"/>
              <w:tabs>
                <w:tab w:val="left" w:pos="3960"/>
              </w:tabs>
              <w:rPr>
                <w:b/>
                <w:bCs/>
              </w:rPr>
            </w:pPr>
          </w:p>
        </w:tc>
        <w:tc>
          <w:tcPr>
            <w:tcW w:w="4549" w:type="dxa"/>
            <w:tcBorders>
              <w:top w:val="nil"/>
              <w:left w:val="nil"/>
              <w:bottom w:val="single" w:sz="8" w:space="0" w:color="auto"/>
              <w:right w:val="single" w:sz="8" w:space="0" w:color="auto"/>
            </w:tcBorders>
            <w:noWrap/>
            <w:vAlign w:val="center"/>
          </w:tcPr>
          <w:p w:rsidR="00F12A8E" w:rsidRPr="00B07EDA" w:rsidRDefault="00586B1F" w:rsidP="006645E2">
            <w:pPr>
              <w:widowControl w:val="0"/>
              <w:tabs>
                <w:tab w:val="left" w:pos="3960"/>
              </w:tabs>
              <w:rPr>
                <w:bCs/>
                <w:sz w:val="22"/>
                <w:szCs w:val="22"/>
              </w:rPr>
            </w:pPr>
            <w:r w:rsidRPr="00B07EDA">
              <w:rPr>
                <w:bCs/>
                <w:sz w:val="22"/>
                <w:szCs w:val="22"/>
              </w:rPr>
              <w:t xml:space="preserve">Local RMR </w:t>
            </w:r>
            <w:r>
              <w:rPr>
                <w:bCs/>
                <w:sz w:val="22"/>
                <w:szCs w:val="22"/>
              </w:rPr>
              <w:t>A</w:t>
            </w:r>
            <w:r w:rsidRPr="00B07EDA">
              <w:rPr>
                <w:bCs/>
                <w:sz w:val="22"/>
                <w:szCs w:val="22"/>
              </w:rPr>
              <w:t>llocations</w:t>
            </w:r>
            <w:r>
              <w:rPr>
                <w:bCs/>
                <w:sz w:val="22"/>
                <w:szCs w:val="22"/>
              </w:rPr>
              <w:t xml:space="preserve"> Executed</w:t>
            </w:r>
          </w:p>
        </w:tc>
        <w:tc>
          <w:tcPr>
            <w:tcW w:w="852" w:type="dxa"/>
            <w:tcBorders>
              <w:top w:val="nil"/>
              <w:left w:val="nil"/>
              <w:bottom w:val="single" w:sz="8" w:space="0" w:color="auto"/>
              <w:right w:val="single" w:sz="8" w:space="0" w:color="auto"/>
            </w:tcBorders>
            <w:noWrap/>
            <w:vAlign w:val="center"/>
          </w:tcPr>
          <w:p w:rsidR="00F12A8E" w:rsidRPr="00B07EDA" w:rsidRDefault="00F12A8E" w:rsidP="006645E2">
            <w:pPr>
              <w:widowControl w:val="0"/>
              <w:rPr>
                <w:sz w:val="22"/>
                <w:szCs w:val="22"/>
              </w:rPr>
            </w:pPr>
            <w:r w:rsidRPr="00B07EDA">
              <w:rPr>
                <w:sz w:val="22"/>
                <w:szCs w:val="22"/>
              </w:rPr>
              <w:t>165</w:t>
            </w:r>
          </w:p>
        </w:tc>
        <w:tc>
          <w:tcPr>
            <w:tcW w:w="644" w:type="dxa"/>
            <w:tcBorders>
              <w:top w:val="nil"/>
              <w:left w:val="nil"/>
              <w:bottom w:val="single" w:sz="8" w:space="0" w:color="auto"/>
              <w:right w:val="single" w:sz="8" w:space="0" w:color="auto"/>
            </w:tcBorders>
            <w:noWrap/>
            <w:vAlign w:val="center"/>
          </w:tcPr>
          <w:p w:rsidR="00F12A8E" w:rsidRPr="00B07EDA" w:rsidRDefault="00F12A8E" w:rsidP="006645E2">
            <w:pPr>
              <w:widowControl w:val="0"/>
              <w:rPr>
                <w:sz w:val="22"/>
                <w:szCs w:val="22"/>
              </w:rPr>
            </w:pPr>
            <w:r w:rsidRPr="00B07EDA">
              <w:rPr>
                <w:sz w:val="22"/>
                <w:szCs w:val="22"/>
              </w:rPr>
              <w:t>0</w:t>
            </w:r>
          </w:p>
        </w:tc>
        <w:tc>
          <w:tcPr>
            <w:tcW w:w="999" w:type="dxa"/>
            <w:tcBorders>
              <w:top w:val="nil"/>
              <w:left w:val="nil"/>
              <w:bottom w:val="single" w:sz="8" w:space="0" w:color="auto"/>
              <w:right w:val="single" w:sz="8" w:space="0" w:color="auto"/>
            </w:tcBorders>
            <w:noWrap/>
            <w:vAlign w:val="center"/>
          </w:tcPr>
          <w:p w:rsidR="00F12A8E" w:rsidRPr="00B07EDA" w:rsidRDefault="00F12A8E" w:rsidP="006645E2">
            <w:pPr>
              <w:widowControl w:val="0"/>
              <w:rPr>
                <w:sz w:val="22"/>
                <w:szCs w:val="22"/>
              </w:rPr>
            </w:pPr>
            <w:r w:rsidRPr="00B07EDA">
              <w:rPr>
                <w:sz w:val="22"/>
                <w:szCs w:val="22"/>
              </w:rPr>
              <w:t>0</w:t>
            </w:r>
          </w:p>
        </w:tc>
        <w:tc>
          <w:tcPr>
            <w:tcW w:w="946" w:type="dxa"/>
            <w:tcBorders>
              <w:top w:val="nil"/>
              <w:left w:val="nil"/>
              <w:bottom w:val="single" w:sz="8" w:space="0" w:color="auto"/>
              <w:right w:val="single" w:sz="8" w:space="0" w:color="auto"/>
            </w:tcBorders>
            <w:noWrap/>
            <w:vAlign w:val="center"/>
          </w:tcPr>
          <w:p w:rsidR="00F12A8E" w:rsidRPr="00B07EDA" w:rsidRDefault="00F12A8E" w:rsidP="00B07EDA">
            <w:pPr>
              <w:widowControl w:val="0"/>
              <w:jc w:val="right"/>
              <w:rPr>
                <w:b/>
                <w:bCs/>
                <w:sz w:val="22"/>
                <w:szCs w:val="22"/>
              </w:rPr>
            </w:pPr>
            <w:r w:rsidRPr="00B07EDA">
              <w:rPr>
                <w:b/>
                <w:bCs/>
                <w:sz w:val="22"/>
                <w:szCs w:val="22"/>
              </w:rPr>
              <w:t>165</w:t>
            </w:r>
          </w:p>
        </w:tc>
      </w:tr>
      <w:tr w:rsidR="00F12A8E" w:rsidRPr="00AD151D" w:rsidTr="006F7ADC">
        <w:trPr>
          <w:trHeight w:val="375"/>
        </w:trPr>
        <w:tc>
          <w:tcPr>
            <w:tcW w:w="681" w:type="dxa"/>
            <w:vMerge/>
            <w:tcBorders>
              <w:top w:val="nil"/>
              <w:left w:val="single" w:sz="8" w:space="0" w:color="auto"/>
              <w:bottom w:val="single" w:sz="8" w:space="0" w:color="000000"/>
              <w:right w:val="single" w:sz="8" w:space="0" w:color="auto"/>
            </w:tcBorders>
            <w:vAlign w:val="center"/>
          </w:tcPr>
          <w:p w:rsidR="00F12A8E" w:rsidRPr="00AD151D" w:rsidRDefault="00F12A8E" w:rsidP="006645E2">
            <w:pPr>
              <w:widowControl w:val="0"/>
              <w:tabs>
                <w:tab w:val="left" w:pos="3960"/>
              </w:tabs>
              <w:rPr>
                <w:b/>
                <w:bCs/>
              </w:rPr>
            </w:pPr>
          </w:p>
        </w:tc>
        <w:tc>
          <w:tcPr>
            <w:tcW w:w="4549" w:type="dxa"/>
            <w:tcBorders>
              <w:top w:val="nil"/>
              <w:left w:val="nil"/>
              <w:bottom w:val="single" w:sz="8" w:space="0" w:color="auto"/>
              <w:right w:val="single" w:sz="8" w:space="0" w:color="auto"/>
            </w:tcBorders>
            <w:noWrap/>
            <w:vAlign w:val="center"/>
          </w:tcPr>
          <w:p w:rsidR="00F12A8E" w:rsidRPr="00B07EDA" w:rsidRDefault="00F12A8E" w:rsidP="006645E2">
            <w:pPr>
              <w:widowControl w:val="0"/>
              <w:tabs>
                <w:tab w:val="left" w:pos="3960"/>
              </w:tabs>
              <w:rPr>
                <w:b/>
                <w:bCs/>
                <w:sz w:val="22"/>
                <w:szCs w:val="22"/>
              </w:rPr>
            </w:pPr>
            <w:r w:rsidRPr="003878E0">
              <w:rPr>
                <w:b/>
                <w:bCs/>
                <w:sz w:val="22"/>
                <w:szCs w:val="22"/>
              </w:rPr>
              <w:t>Difference in CAISO designations from previous year</w:t>
            </w:r>
          </w:p>
        </w:tc>
        <w:tc>
          <w:tcPr>
            <w:tcW w:w="852" w:type="dxa"/>
            <w:tcBorders>
              <w:top w:val="nil"/>
              <w:left w:val="nil"/>
              <w:bottom w:val="single" w:sz="8" w:space="0" w:color="auto"/>
              <w:right w:val="single" w:sz="8" w:space="0" w:color="auto"/>
            </w:tcBorders>
            <w:noWrap/>
            <w:vAlign w:val="center"/>
          </w:tcPr>
          <w:p w:rsidR="00F12A8E" w:rsidRPr="00B07EDA" w:rsidRDefault="003878E0" w:rsidP="003878E0">
            <w:pPr>
              <w:widowControl w:val="0"/>
              <w:rPr>
                <w:b/>
                <w:bCs/>
                <w:sz w:val="22"/>
                <w:szCs w:val="22"/>
              </w:rPr>
            </w:pPr>
            <w:r w:rsidRPr="00B07EDA">
              <w:rPr>
                <w:b/>
                <w:bCs/>
                <w:sz w:val="22"/>
                <w:szCs w:val="22"/>
              </w:rPr>
              <w:t>(</w:t>
            </w:r>
            <w:r w:rsidR="00F12A8E" w:rsidRPr="00B07EDA">
              <w:rPr>
                <w:b/>
                <w:bCs/>
                <w:sz w:val="22"/>
                <w:szCs w:val="22"/>
              </w:rPr>
              <w:t>544</w:t>
            </w:r>
            <w:r w:rsidRPr="00B07EDA">
              <w:rPr>
                <w:b/>
                <w:bCs/>
                <w:sz w:val="22"/>
                <w:szCs w:val="22"/>
              </w:rPr>
              <w:t>)</w:t>
            </w:r>
          </w:p>
        </w:tc>
        <w:tc>
          <w:tcPr>
            <w:tcW w:w="644" w:type="dxa"/>
            <w:tcBorders>
              <w:top w:val="nil"/>
              <w:left w:val="nil"/>
              <w:bottom w:val="single" w:sz="8" w:space="0" w:color="auto"/>
              <w:right w:val="single" w:sz="8" w:space="0" w:color="auto"/>
            </w:tcBorders>
            <w:noWrap/>
            <w:vAlign w:val="center"/>
          </w:tcPr>
          <w:p w:rsidR="00F12A8E" w:rsidRPr="00B07EDA" w:rsidRDefault="00F12A8E" w:rsidP="006645E2">
            <w:pPr>
              <w:widowControl w:val="0"/>
              <w:rPr>
                <w:b/>
                <w:bCs/>
                <w:sz w:val="22"/>
                <w:szCs w:val="22"/>
              </w:rPr>
            </w:pPr>
            <w:r w:rsidRPr="00B07EDA">
              <w:rPr>
                <w:b/>
                <w:bCs/>
                <w:sz w:val="22"/>
                <w:szCs w:val="22"/>
              </w:rPr>
              <w:t>0</w:t>
            </w:r>
          </w:p>
        </w:tc>
        <w:tc>
          <w:tcPr>
            <w:tcW w:w="999" w:type="dxa"/>
            <w:tcBorders>
              <w:top w:val="nil"/>
              <w:left w:val="nil"/>
              <w:bottom w:val="single" w:sz="8" w:space="0" w:color="auto"/>
              <w:right w:val="single" w:sz="8" w:space="0" w:color="auto"/>
            </w:tcBorders>
            <w:noWrap/>
            <w:vAlign w:val="center"/>
          </w:tcPr>
          <w:p w:rsidR="00F12A8E" w:rsidRPr="00B07EDA" w:rsidRDefault="003878E0" w:rsidP="006645E2">
            <w:pPr>
              <w:widowControl w:val="0"/>
              <w:rPr>
                <w:b/>
                <w:bCs/>
                <w:sz w:val="22"/>
                <w:szCs w:val="22"/>
              </w:rPr>
            </w:pPr>
            <w:r w:rsidRPr="00B07EDA">
              <w:rPr>
                <w:b/>
                <w:bCs/>
                <w:sz w:val="22"/>
                <w:szCs w:val="22"/>
              </w:rPr>
              <w:t>(</w:t>
            </w:r>
            <w:r w:rsidR="00F12A8E" w:rsidRPr="00B07EDA">
              <w:rPr>
                <w:b/>
                <w:bCs/>
                <w:sz w:val="22"/>
                <w:szCs w:val="22"/>
              </w:rPr>
              <w:t>311</w:t>
            </w:r>
            <w:r w:rsidRPr="00B07EDA">
              <w:rPr>
                <w:b/>
                <w:bCs/>
                <w:sz w:val="22"/>
                <w:szCs w:val="22"/>
              </w:rPr>
              <w:t>)</w:t>
            </w:r>
          </w:p>
        </w:tc>
        <w:tc>
          <w:tcPr>
            <w:tcW w:w="946" w:type="dxa"/>
            <w:tcBorders>
              <w:top w:val="nil"/>
              <w:left w:val="nil"/>
              <w:bottom w:val="single" w:sz="8" w:space="0" w:color="auto"/>
              <w:right w:val="single" w:sz="8" w:space="0" w:color="auto"/>
            </w:tcBorders>
            <w:noWrap/>
            <w:vAlign w:val="center"/>
          </w:tcPr>
          <w:p w:rsidR="00F12A8E" w:rsidRPr="00B07EDA" w:rsidRDefault="003878E0" w:rsidP="00B07EDA">
            <w:pPr>
              <w:widowControl w:val="0"/>
              <w:jc w:val="center"/>
              <w:rPr>
                <w:b/>
                <w:bCs/>
                <w:sz w:val="22"/>
                <w:szCs w:val="22"/>
              </w:rPr>
            </w:pPr>
            <w:r w:rsidRPr="00B07EDA">
              <w:rPr>
                <w:b/>
                <w:bCs/>
                <w:sz w:val="22"/>
                <w:szCs w:val="22"/>
              </w:rPr>
              <w:t>(</w:t>
            </w:r>
            <w:r w:rsidR="00F12A8E" w:rsidRPr="00B07EDA">
              <w:rPr>
                <w:b/>
                <w:bCs/>
                <w:sz w:val="22"/>
                <w:szCs w:val="22"/>
              </w:rPr>
              <w:t>855</w:t>
            </w:r>
            <w:r w:rsidRPr="00B07EDA">
              <w:rPr>
                <w:b/>
                <w:bCs/>
                <w:sz w:val="22"/>
                <w:szCs w:val="22"/>
              </w:rPr>
              <w:t>)</w:t>
            </w:r>
          </w:p>
        </w:tc>
      </w:tr>
    </w:tbl>
    <w:p w:rsidR="00AE7D50" w:rsidRDefault="00AE7D50" w:rsidP="006645E2">
      <w:pPr>
        <w:widowControl w:val="0"/>
        <w:tabs>
          <w:tab w:val="left" w:pos="3960"/>
        </w:tabs>
        <w:spacing w:before="120"/>
        <w:rPr>
          <w:sz w:val="18"/>
          <w:szCs w:val="18"/>
        </w:rPr>
      </w:pPr>
      <w:r w:rsidRPr="00AD151D">
        <w:rPr>
          <w:sz w:val="18"/>
          <w:szCs w:val="18"/>
        </w:rPr>
        <w:t>Source: CAISO Board of governors meetings for 10/29/08, and 10/21/09</w:t>
      </w:r>
      <w:r w:rsidR="00E657F3">
        <w:rPr>
          <w:sz w:val="18"/>
          <w:szCs w:val="18"/>
        </w:rPr>
        <w:t xml:space="preserve">, and </w:t>
      </w:r>
      <w:r w:rsidR="008471FB">
        <w:rPr>
          <w:sz w:val="18"/>
          <w:szCs w:val="18"/>
        </w:rPr>
        <w:t>10/26/10</w:t>
      </w:r>
    </w:p>
    <w:p w:rsidR="00044E7C" w:rsidRPr="00AD151D" w:rsidRDefault="00044E7C" w:rsidP="006645E2">
      <w:pPr>
        <w:widowControl w:val="0"/>
        <w:tabs>
          <w:tab w:val="left" w:pos="3960"/>
        </w:tabs>
        <w:spacing w:before="120"/>
        <w:rPr>
          <w:sz w:val="18"/>
          <w:szCs w:val="18"/>
        </w:rPr>
      </w:pPr>
    </w:p>
    <w:p w:rsidR="00AE7D50" w:rsidRPr="00277DC8" w:rsidRDefault="00AE7D50" w:rsidP="006645E2">
      <w:pPr>
        <w:pStyle w:val="Heading2"/>
        <w:keepNext w:val="0"/>
        <w:widowControl w:val="0"/>
        <w:numPr>
          <w:ilvl w:val="1"/>
          <w:numId w:val="18"/>
        </w:numPr>
        <w:spacing w:before="120"/>
        <w:rPr>
          <w:i w:val="0"/>
        </w:rPr>
      </w:pPr>
      <w:bookmarkStart w:id="115" w:name="_Toc347827060"/>
      <w:r w:rsidRPr="00277DC8">
        <w:rPr>
          <w:i w:val="0"/>
        </w:rPr>
        <w:t>RA Contract Prices 20</w:t>
      </w:r>
      <w:r w:rsidR="001C5402" w:rsidRPr="00277DC8">
        <w:rPr>
          <w:i w:val="0"/>
        </w:rPr>
        <w:t>1</w:t>
      </w:r>
      <w:r w:rsidRPr="00277DC8">
        <w:rPr>
          <w:i w:val="0"/>
        </w:rPr>
        <w:t>0-201</w:t>
      </w:r>
      <w:r w:rsidR="001C5402" w:rsidRPr="00277DC8">
        <w:rPr>
          <w:i w:val="0"/>
        </w:rPr>
        <w:t>2</w:t>
      </w:r>
      <w:bookmarkEnd w:id="115"/>
    </w:p>
    <w:p w:rsidR="00630FCA" w:rsidRDefault="001C5402" w:rsidP="006645E2">
      <w:pPr>
        <w:widowControl w:val="0"/>
        <w:spacing w:before="120"/>
        <w:ind w:firstLine="576"/>
      </w:pPr>
      <w:r w:rsidRPr="00AD151D">
        <w:t xml:space="preserve">Energy Division staff requested data from all LSEs regarding prices paid for RA capacity.  This data request was sent to both IOUs and ESPs.  The Data request covered RA only capacity both </w:t>
      </w:r>
      <w:r w:rsidR="00630FCA">
        <w:t xml:space="preserve">bought and </w:t>
      </w:r>
      <w:r w:rsidRPr="00AD151D">
        <w:t>sold for every RA contract covering a</w:t>
      </w:r>
      <w:r w:rsidR="00630FCA">
        <w:t>ll</w:t>
      </w:r>
      <w:r w:rsidRPr="00AD151D">
        <w:t xml:space="preserve"> period</w:t>
      </w:r>
      <w:r w:rsidR="00630FCA">
        <w:t>s</w:t>
      </w:r>
      <w:r w:rsidRPr="00AD151D">
        <w:t xml:space="preserve"> of 2010 to 2012 compliance years.   The data request excluded Combined Heat and Power (CHP), Renewable Portfolio Standard (RPS) and Qualifying Facility (QF) contracts provided that those contracts are not easily comparable to contracts for conventional capacity. Tolling contracts were also excluded from the data request.  </w:t>
      </w:r>
    </w:p>
    <w:p w:rsidR="00630FCA" w:rsidRDefault="001C5402" w:rsidP="006645E2">
      <w:pPr>
        <w:widowControl w:val="0"/>
        <w:spacing w:before="120"/>
        <w:ind w:firstLine="576"/>
      </w:pPr>
      <w:r w:rsidRPr="00AD151D">
        <w:t xml:space="preserve">In addition to the data responses received in 2012, Energy Divisions staff included RA contracts from the 2011 data request that fell within the parameters of the 2012 data request.  This included an additional 83 contracts.  The purpose of this section is to present aggregated estimates drawn from the responses Energy Division received for the defined parameters.   </w:t>
      </w:r>
      <w:r w:rsidR="00630FCA">
        <w:t>Noting that t</w:t>
      </w:r>
      <w:r w:rsidRPr="00AD151D">
        <w:t xml:space="preserve">he data set used in this analysis is incomplete </w:t>
      </w:r>
      <w:r w:rsidR="00630FCA">
        <w:t xml:space="preserve">because </w:t>
      </w:r>
      <w:r w:rsidR="00B414BC" w:rsidRPr="00AD151D">
        <w:t>only two out of 13 ESPs</w:t>
      </w:r>
      <w:r w:rsidR="00630FCA">
        <w:t xml:space="preserve"> responded to the data request</w:t>
      </w:r>
      <w:r w:rsidR="00B414BC" w:rsidRPr="00AD151D">
        <w:t>, and the completeness of those responses have</w:t>
      </w:r>
      <w:r w:rsidRPr="00AD151D">
        <w:t xml:space="preserve"> not been verified.  </w:t>
      </w:r>
    </w:p>
    <w:p w:rsidR="001C5402" w:rsidRPr="00AD151D" w:rsidRDefault="00630FCA" w:rsidP="006645E2">
      <w:pPr>
        <w:widowControl w:val="0"/>
        <w:spacing w:before="120"/>
        <w:ind w:firstLine="576"/>
      </w:pPr>
      <w:r>
        <w:t>Therefore, t</w:t>
      </w:r>
      <w:r w:rsidR="001C5402" w:rsidRPr="00AD151D">
        <w:t xml:space="preserve">o increase the completeness of the data, energy division staff included the data responses from the 2011 data request that fit the parameters of the 2012 data request (these were not duplicative).  By including this data it increased the total number of contracts used in analysis by 83.  A total of 450 contracts with an aggregate of 36,788 MW </w:t>
      </w:r>
      <w:r w:rsidR="00B414BC" w:rsidRPr="00AD151D">
        <w:t>were</w:t>
      </w:r>
      <w:r w:rsidR="001C5402" w:rsidRPr="00AD151D">
        <w:t xml:space="preserve"> analyzed as part of this data set.  This included capacity prices for 10,840 MW of capacity effective in August 2011, which is 22.6 percent of the total CPUC jurisdictional RA obligation of 47,866 MW for that month.  </w:t>
      </w:r>
    </w:p>
    <w:p w:rsidR="00630FCA" w:rsidRDefault="001C5402" w:rsidP="001C5402">
      <w:pPr>
        <w:spacing w:before="120"/>
        <w:ind w:firstLine="576"/>
      </w:pPr>
      <w:r w:rsidRPr="00AD151D">
        <w:t>These contracts include those that began delivery as early as 2006 and end delivery as late as 2016.  The data set includes RA capacity only contracts</w:t>
      </w:r>
      <w:r w:rsidR="00B07EDA">
        <w:t>;</w:t>
      </w:r>
      <w:r w:rsidR="00B07EDA" w:rsidRPr="00AD151D">
        <w:t xml:space="preserve"> </w:t>
      </w:r>
      <w:r w:rsidR="00630FCA">
        <w:t xml:space="preserve">to prevent distortion of prices the </w:t>
      </w:r>
      <w:r w:rsidRPr="00AD151D">
        <w:t xml:space="preserve">contracts that include energy have not been included in the data analysis. </w:t>
      </w:r>
      <w:r w:rsidRPr="00AD151D">
        <w:lastRenderedPageBreak/>
        <w:t>Energy Division staff sought to analyze contracts entered into particularly for RA compliance purposes</w:t>
      </w:r>
      <w:r w:rsidR="00B07EDA">
        <w:t xml:space="preserve"> delivering during the </w:t>
      </w:r>
      <w:r w:rsidRPr="00AD151D">
        <w:t xml:space="preserve">2010-2012 compliance period.  </w:t>
      </w:r>
    </w:p>
    <w:p w:rsidR="001C5402" w:rsidRPr="00AD151D" w:rsidRDefault="00630FCA" w:rsidP="001C5402">
      <w:pPr>
        <w:spacing w:before="120"/>
        <w:ind w:firstLine="576"/>
      </w:pPr>
      <w:r>
        <w:t xml:space="preserve">To that end </w:t>
      </w:r>
      <w:r w:rsidR="001C5402" w:rsidRPr="00AD151D">
        <w:t xml:space="preserve">Energy Division staff sorted contracts into a variety of categories, and performed statistical analysis of each category.  </w:t>
      </w:r>
      <w:r>
        <w:t>For example, t</w:t>
      </w:r>
      <w:r w:rsidR="001C5402" w:rsidRPr="00AD151D">
        <w:t xml:space="preserve">he System only category includes only contracts with units located outside of Local Areas.  NP26 and SP26 Local categories include all contracts with facilities located in Local Areas, regardless of what type of contract the LSE signed with the facilities.  In short, Local and System are differentiated by unit location, not LSE contractual terms.  In some cases, single contracts that pay different prices each year of the contract were split into separate contracts for purposes of this analysis.  </w:t>
      </w:r>
      <w:r w:rsidR="001D266C">
        <w:fldChar w:fldCharType="begin"/>
      </w:r>
      <w:r w:rsidR="001D266C">
        <w:instrText xml:space="preserve"> REF _Ref289255219 \h </w:instrText>
      </w:r>
      <w:r w:rsidR="001D266C">
        <w:fldChar w:fldCharType="separate"/>
      </w:r>
      <w:r w:rsidR="00B3535E" w:rsidRPr="00AD151D">
        <w:t xml:space="preserve">Table </w:t>
      </w:r>
      <w:r w:rsidR="00B3535E">
        <w:rPr>
          <w:noProof/>
        </w:rPr>
        <w:t>15</w:t>
      </w:r>
      <w:r w:rsidR="001D266C">
        <w:fldChar w:fldCharType="end"/>
      </w:r>
      <w:r w:rsidR="001D266C">
        <w:t xml:space="preserve"> </w:t>
      </w:r>
      <w:r w:rsidR="001C5402" w:rsidRPr="00AD151D">
        <w:t xml:space="preserve">below presents summary statistics from this analysis. All prices represent nominal dollars in kw/month. </w:t>
      </w:r>
    </w:p>
    <w:p w:rsidR="001C5402" w:rsidRPr="00AD151D" w:rsidRDefault="001C5402" w:rsidP="001C5402">
      <w:pPr>
        <w:spacing w:before="120"/>
        <w:ind w:firstLine="576"/>
      </w:pPr>
      <w:r w:rsidRPr="00AD151D">
        <w:t xml:space="preserve">In addition to the analysis done on RA price by zone and local area, Energy division staff looked at the correlation between the length (in months) of the contract and the price of the contract as well as the correlation between the price and MW size of contract. The correlation between these variables showed a weak relationship that was </w:t>
      </w:r>
      <w:r w:rsidR="00630FCA">
        <w:t xml:space="preserve">considered </w:t>
      </w:r>
      <w:r w:rsidRPr="00AD151D">
        <w:t xml:space="preserve">statistically insignificant.  </w:t>
      </w:r>
    </w:p>
    <w:p w:rsidR="00AE7D50" w:rsidRPr="00AD151D" w:rsidRDefault="001C5402" w:rsidP="001C5402">
      <w:pPr>
        <w:spacing w:before="120"/>
        <w:ind w:firstLine="576"/>
      </w:pPr>
      <w:r w:rsidRPr="00AD151D">
        <w:t xml:space="preserve">The table below shows that Capacity contracts in the south were more expensive than contracts in the north. However, contracts in local areas in the north were significantly more expensive than local areas in the south.  By examining the 85th percentile and seeing that it is about double the median of these categories, it also appears that several categories are significantly skewed, meaning a weighted average analysis </w:t>
      </w:r>
      <w:r w:rsidR="001D266C">
        <w:t xml:space="preserve">could </w:t>
      </w:r>
      <w:r w:rsidR="00BB2D00">
        <w:t>be</w:t>
      </w:r>
      <w:r w:rsidRPr="00AD151D">
        <w:t xml:space="preserve"> </w:t>
      </w:r>
      <w:r w:rsidR="001D266C">
        <w:t>misleading</w:t>
      </w:r>
      <w:r w:rsidRPr="00AD151D">
        <w:t>.</w:t>
      </w:r>
      <w:r w:rsidR="00AE7D50" w:rsidRPr="00AD151D">
        <w:t xml:space="preserve">  </w:t>
      </w:r>
    </w:p>
    <w:p w:rsidR="00DE6175" w:rsidRPr="00AD151D" w:rsidRDefault="00DE6175" w:rsidP="00DE6175">
      <w:pPr>
        <w:pStyle w:val="Caption"/>
        <w:keepNext/>
        <w:keepLines/>
        <w:spacing w:before="120"/>
      </w:pPr>
      <w:bookmarkStart w:id="116" w:name="_Ref289255219"/>
      <w:bookmarkStart w:id="117" w:name="_Toc347827085"/>
      <w:r w:rsidRPr="00AD151D">
        <w:t xml:space="preserve">Table </w:t>
      </w:r>
      <w:r w:rsidR="00B3535E">
        <w:fldChar w:fldCharType="begin"/>
      </w:r>
      <w:r w:rsidR="00B3535E">
        <w:instrText xml:space="preserve"> SEQ Table \* ARABIC </w:instrText>
      </w:r>
      <w:r w:rsidR="00B3535E">
        <w:fldChar w:fldCharType="separate"/>
      </w:r>
      <w:r w:rsidR="00B3535E">
        <w:rPr>
          <w:noProof/>
        </w:rPr>
        <w:t>15</w:t>
      </w:r>
      <w:r w:rsidR="00B3535E">
        <w:rPr>
          <w:noProof/>
        </w:rPr>
        <w:fldChar w:fldCharType="end"/>
      </w:r>
      <w:bookmarkEnd w:id="116"/>
      <w:r w:rsidRPr="00AD151D">
        <w:t xml:space="preserve"> Summary statistics of RA Prices by category</w:t>
      </w:r>
      <w:bookmarkEnd w:id="117"/>
    </w:p>
    <w:tbl>
      <w:tblPr>
        <w:tblW w:w="0" w:type="auto"/>
        <w:tblInd w:w="103" w:type="dxa"/>
        <w:tblLayout w:type="fixed"/>
        <w:tblLook w:val="04A0" w:firstRow="1" w:lastRow="0" w:firstColumn="1" w:lastColumn="0" w:noHBand="0" w:noVBand="1"/>
      </w:tblPr>
      <w:tblGrid>
        <w:gridCol w:w="1265"/>
        <w:gridCol w:w="900"/>
        <w:gridCol w:w="810"/>
        <w:gridCol w:w="985"/>
        <w:gridCol w:w="905"/>
        <w:gridCol w:w="1027"/>
        <w:gridCol w:w="863"/>
        <w:gridCol w:w="1260"/>
      </w:tblGrid>
      <w:tr w:rsidR="00DE6175" w:rsidRPr="00AD151D" w:rsidTr="006645E2">
        <w:trPr>
          <w:trHeight w:val="344"/>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175" w:rsidRPr="00AD151D" w:rsidRDefault="00DE6175" w:rsidP="00B93B61">
            <w:pPr>
              <w:jc w:val="center"/>
              <w:rPr>
                <w:rFonts w:ascii="Arial" w:hAnsi="Arial" w:cs="Arial"/>
                <w:b/>
                <w:sz w:val="16"/>
                <w:szCs w:val="16"/>
              </w:rPr>
            </w:pPr>
            <w:r w:rsidRPr="00AD151D">
              <w:rPr>
                <w:rFonts w:ascii="Arial" w:hAnsi="Arial" w:cs="Arial"/>
                <w:b/>
                <w:sz w:val="16"/>
                <w:szCs w:val="16"/>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b/>
                <w:sz w:val="16"/>
                <w:szCs w:val="16"/>
              </w:rPr>
            </w:pPr>
            <w:r w:rsidRPr="00AD151D">
              <w:rPr>
                <w:rFonts w:ascii="Arial" w:hAnsi="Arial" w:cs="Arial"/>
                <w:b/>
                <w:sz w:val="16"/>
                <w:szCs w:val="16"/>
              </w:rPr>
              <w:t>RA/ Capacity only</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b/>
                <w:sz w:val="16"/>
                <w:szCs w:val="16"/>
              </w:rPr>
            </w:pPr>
            <w:r w:rsidRPr="00AD151D">
              <w:rPr>
                <w:rFonts w:ascii="Arial" w:hAnsi="Arial" w:cs="Arial"/>
                <w:b/>
                <w:sz w:val="16"/>
                <w:szCs w:val="16"/>
              </w:rPr>
              <w:t>NP26</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b/>
                <w:sz w:val="16"/>
                <w:szCs w:val="16"/>
              </w:rPr>
            </w:pPr>
            <w:r w:rsidRPr="00AD151D">
              <w:rPr>
                <w:rFonts w:ascii="Arial" w:hAnsi="Arial" w:cs="Arial"/>
                <w:b/>
                <w:sz w:val="16"/>
                <w:szCs w:val="16"/>
              </w:rPr>
              <w:t>SP26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b/>
                <w:sz w:val="16"/>
                <w:szCs w:val="16"/>
              </w:rPr>
            </w:pPr>
            <w:r w:rsidRPr="00AD151D">
              <w:rPr>
                <w:rFonts w:ascii="Arial" w:hAnsi="Arial" w:cs="Arial"/>
                <w:b/>
                <w:sz w:val="16"/>
                <w:szCs w:val="16"/>
              </w:rPr>
              <w:t>CASIO System</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b/>
                <w:sz w:val="16"/>
                <w:szCs w:val="16"/>
              </w:rPr>
            </w:pPr>
            <w:r w:rsidRPr="00AD151D">
              <w:rPr>
                <w:rFonts w:ascii="Arial" w:hAnsi="Arial" w:cs="Arial"/>
                <w:b/>
                <w:sz w:val="16"/>
                <w:szCs w:val="16"/>
              </w:rPr>
              <w:t>Local</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b/>
                <w:sz w:val="16"/>
                <w:szCs w:val="16"/>
              </w:rPr>
            </w:pPr>
            <w:r w:rsidRPr="00AD151D">
              <w:rPr>
                <w:rFonts w:ascii="Arial" w:hAnsi="Arial" w:cs="Arial"/>
                <w:b/>
                <w:sz w:val="16"/>
                <w:szCs w:val="16"/>
              </w:rPr>
              <w:t>NP26 Local</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b/>
                <w:sz w:val="16"/>
                <w:szCs w:val="16"/>
              </w:rPr>
            </w:pPr>
            <w:r w:rsidRPr="00AD151D">
              <w:rPr>
                <w:rFonts w:ascii="Arial" w:hAnsi="Arial" w:cs="Arial"/>
                <w:b/>
                <w:sz w:val="16"/>
                <w:szCs w:val="16"/>
              </w:rPr>
              <w:t>SP26 Local</w:t>
            </w:r>
          </w:p>
        </w:tc>
      </w:tr>
      <w:tr w:rsidR="00DE6175" w:rsidRPr="00AD151D" w:rsidTr="006645E2">
        <w:trPr>
          <w:trHeight w:val="96"/>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DE6175" w:rsidRPr="00AD151D" w:rsidRDefault="00DE6175" w:rsidP="00B93B61">
            <w:pPr>
              <w:rPr>
                <w:rFonts w:ascii="Arial" w:hAnsi="Arial" w:cs="Arial"/>
                <w:b/>
                <w:sz w:val="16"/>
                <w:szCs w:val="16"/>
              </w:rPr>
            </w:pPr>
            <w:r w:rsidRPr="00AD151D">
              <w:rPr>
                <w:rFonts w:ascii="Arial" w:hAnsi="Arial" w:cs="Arial"/>
                <w:b/>
                <w:sz w:val="16"/>
                <w:szCs w:val="16"/>
              </w:rPr>
              <w:t>Median</w:t>
            </w:r>
          </w:p>
        </w:tc>
        <w:tc>
          <w:tcPr>
            <w:tcW w:w="90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$2.20</w:t>
            </w:r>
          </w:p>
        </w:tc>
        <w:tc>
          <w:tcPr>
            <w:tcW w:w="81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$2.00</w:t>
            </w:r>
          </w:p>
        </w:tc>
        <w:tc>
          <w:tcPr>
            <w:tcW w:w="985"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$2.25</w:t>
            </w:r>
          </w:p>
        </w:tc>
        <w:tc>
          <w:tcPr>
            <w:tcW w:w="905"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$1.65</w:t>
            </w:r>
          </w:p>
        </w:tc>
        <w:tc>
          <w:tcPr>
            <w:tcW w:w="1027"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$2.68</w:t>
            </w:r>
          </w:p>
        </w:tc>
        <w:tc>
          <w:tcPr>
            <w:tcW w:w="863"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$3.30</w:t>
            </w:r>
          </w:p>
        </w:tc>
        <w:tc>
          <w:tcPr>
            <w:tcW w:w="126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$2.50</w:t>
            </w:r>
          </w:p>
        </w:tc>
      </w:tr>
      <w:tr w:rsidR="00DE6175" w:rsidRPr="00AD151D" w:rsidTr="006645E2">
        <w:trPr>
          <w:trHeight w:val="107"/>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DE6175" w:rsidRPr="00AD151D" w:rsidRDefault="00DE6175" w:rsidP="00B93B61">
            <w:pPr>
              <w:rPr>
                <w:rFonts w:ascii="Arial" w:hAnsi="Arial" w:cs="Arial"/>
                <w:b/>
                <w:sz w:val="16"/>
                <w:szCs w:val="16"/>
              </w:rPr>
            </w:pPr>
            <w:r w:rsidRPr="00AD151D">
              <w:rPr>
                <w:rFonts w:ascii="Arial" w:hAnsi="Arial" w:cs="Arial"/>
                <w:b/>
                <w:sz w:val="16"/>
                <w:szCs w:val="16"/>
              </w:rPr>
              <w:t>85 percentile</w:t>
            </w:r>
          </w:p>
        </w:tc>
        <w:tc>
          <w:tcPr>
            <w:tcW w:w="90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$4.00</w:t>
            </w:r>
          </w:p>
        </w:tc>
        <w:tc>
          <w:tcPr>
            <w:tcW w:w="81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$4.00</w:t>
            </w:r>
          </w:p>
        </w:tc>
        <w:tc>
          <w:tcPr>
            <w:tcW w:w="985"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$4.23</w:t>
            </w:r>
          </w:p>
        </w:tc>
        <w:tc>
          <w:tcPr>
            <w:tcW w:w="905"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$3.27</w:t>
            </w:r>
          </w:p>
        </w:tc>
        <w:tc>
          <w:tcPr>
            <w:tcW w:w="1027"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$4.42</w:t>
            </w:r>
          </w:p>
        </w:tc>
        <w:tc>
          <w:tcPr>
            <w:tcW w:w="863"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$5.50</w:t>
            </w:r>
          </w:p>
        </w:tc>
        <w:tc>
          <w:tcPr>
            <w:tcW w:w="126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$4.25</w:t>
            </w:r>
          </w:p>
        </w:tc>
      </w:tr>
      <w:tr w:rsidR="00DE6175" w:rsidRPr="00AD151D" w:rsidTr="006645E2">
        <w:trPr>
          <w:trHeight w:val="98"/>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DE6175" w:rsidRPr="00AD151D" w:rsidRDefault="00DE6175" w:rsidP="00B93B61">
            <w:pPr>
              <w:rPr>
                <w:rFonts w:ascii="Arial" w:hAnsi="Arial" w:cs="Arial"/>
                <w:b/>
                <w:sz w:val="16"/>
                <w:szCs w:val="16"/>
              </w:rPr>
            </w:pPr>
            <w:r w:rsidRPr="00AD151D">
              <w:rPr>
                <w:rFonts w:ascii="Arial" w:hAnsi="Arial" w:cs="Arial"/>
                <w:b/>
                <w:sz w:val="16"/>
                <w:szCs w:val="16"/>
              </w:rPr>
              <w:t>Max</w:t>
            </w:r>
          </w:p>
        </w:tc>
        <w:tc>
          <w:tcPr>
            <w:tcW w:w="90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$12.25</w:t>
            </w:r>
          </w:p>
        </w:tc>
        <w:tc>
          <w:tcPr>
            <w:tcW w:w="81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$9.95</w:t>
            </w:r>
          </w:p>
        </w:tc>
        <w:tc>
          <w:tcPr>
            <w:tcW w:w="985"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$12.25</w:t>
            </w:r>
          </w:p>
        </w:tc>
        <w:tc>
          <w:tcPr>
            <w:tcW w:w="905"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$9.95</w:t>
            </w:r>
          </w:p>
        </w:tc>
        <w:tc>
          <w:tcPr>
            <w:tcW w:w="1027"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$12.25</w:t>
            </w:r>
          </w:p>
        </w:tc>
        <w:tc>
          <w:tcPr>
            <w:tcW w:w="863"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$9.00</w:t>
            </w:r>
          </w:p>
        </w:tc>
        <w:tc>
          <w:tcPr>
            <w:tcW w:w="126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$12.25</w:t>
            </w:r>
          </w:p>
        </w:tc>
      </w:tr>
      <w:tr w:rsidR="00DE6175" w:rsidRPr="00AD151D" w:rsidTr="006645E2">
        <w:trPr>
          <w:trHeight w:val="109"/>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DE6175" w:rsidRPr="00AD151D" w:rsidRDefault="00DE6175" w:rsidP="00B93B61">
            <w:pPr>
              <w:rPr>
                <w:rFonts w:ascii="Arial" w:hAnsi="Arial" w:cs="Arial"/>
                <w:b/>
                <w:sz w:val="16"/>
                <w:szCs w:val="16"/>
              </w:rPr>
            </w:pPr>
            <w:r w:rsidRPr="00AD151D">
              <w:rPr>
                <w:rFonts w:ascii="Arial" w:hAnsi="Arial" w:cs="Arial"/>
                <w:b/>
                <w:sz w:val="16"/>
                <w:szCs w:val="16"/>
              </w:rPr>
              <w:t>Number of contracts</w:t>
            </w:r>
          </w:p>
        </w:tc>
        <w:tc>
          <w:tcPr>
            <w:tcW w:w="90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450</w:t>
            </w:r>
          </w:p>
        </w:tc>
        <w:tc>
          <w:tcPr>
            <w:tcW w:w="81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157</w:t>
            </w:r>
          </w:p>
        </w:tc>
        <w:tc>
          <w:tcPr>
            <w:tcW w:w="985"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293</w:t>
            </w:r>
          </w:p>
        </w:tc>
        <w:tc>
          <w:tcPr>
            <w:tcW w:w="905"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140</w:t>
            </w:r>
          </w:p>
        </w:tc>
        <w:tc>
          <w:tcPr>
            <w:tcW w:w="1027"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300</w:t>
            </w:r>
          </w:p>
        </w:tc>
        <w:tc>
          <w:tcPr>
            <w:tcW w:w="863"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39</w:t>
            </w:r>
          </w:p>
        </w:tc>
        <w:tc>
          <w:tcPr>
            <w:tcW w:w="1260" w:type="dxa"/>
            <w:tcBorders>
              <w:top w:val="nil"/>
              <w:left w:val="nil"/>
              <w:bottom w:val="single" w:sz="4" w:space="0" w:color="auto"/>
              <w:right w:val="single" w:sz="4" w:space="0" w:color="auto"/>
            </w:tcBorders>
            <w:shd w:val="clear" w:color="auto" w:fill="auto"/>
            <w:noWrap/>
            <w:vAlign w:val="bottom"/>
            <w:hideMark/>
          </w:tcPr>
          <w:p w:rsidR="00DE6175" w:rsidRPr="00AD151D" w:rsidRDefault="00DE6175" w:rsidP="006645E2">
            <w:pPr>
              <w:jc w:val="center"/>
              <w:rPr>
                <w:rFonts w:ascii="Arial" w:hAnsi="Arial" w:cs="Arial"/>
                <w:sz w:val="16"/>
                <w:szCs w:val="16"/>
              </w:rPr>
            </w:pPr>
            <w:r w:rsidRPr="00AD151D">
              <w:rPr>
                <w:rFonts w:ascii="Arial" w:hAnsi="Arial" w:cs="Arial"/>
                <w:sz w:val="16"/>
                <w:szCs w:val="16"/>
              </w:rPr>
              <w:t>261</w:t>
            </w:r>
          </w:p>
        </w:tc>
      </w:tr>
    </w:tbl>
    <w:p w:rsidR="00DE6175" w:rsidRPr="00B07EDA" w:rsidRDefault="00DE6175" w:rsidP="00DE6175"/>
    <w:p w:rsidR="001D266C" w:rsidRPr="001D266C" w:rsidRDefault="00DE6175" w:rsidP="00277DC8">
      <w:r w:rsidRPr="00277DC8">
        <w:t xml:space="preserve">The figures below are price curves for RA only contracts in each category.  Price is represented in nominal dollars per kw/month for each contract.  Price is on the vertical axis and number of contracts in each category is on the horizontal axis.  </w:t>
      </w:r>
    </w:p>
    <w:p w:rsidR="00DE6175" w:rsidRPr="00AD151D" w:rsidRDefault="00350B99" w:rsidP="00586B1F">
      <w:pPr>
        <w:pStyle w:val="Caption"/>
        <w:keepNext/>
        <w:keepLines/>
        <w:spacing w:before="120"/>
      </w:pPr>
      <w:bookmarkStart w:id="118" w:name="_Toc347827092"/>
      <w:r w:rsidRPr="00AD151D">
        <w:lastRenderedPageBreak/>
        <w:t xml:space="preserve">Figure </w:t>
      </w:r>
      <w:r w:rsidR="00B3535E">
        <w:fldChar w:fldCharType="begin"/>
      </w:r>
      <w:r w:rsidR="00B3535E">
        <w:instrText xml:space="preserve"> SEQ Figure \* ARABIC </w:instrText>
      </w:r>
      <w:r w:rsidR="00B3535E">
        <w:fldChar w:fldCharType="separate"/>
      </w:r>
      <w:r w:rsidR="00B3535E">
        <w:rPr>
          <w:noProof/>
        </w:rPr>
        <w:t>3</w:t>
      </w:r>
      <w:r w:rsidR="00B3535E">
        <w:rPr>
          <w:noProof/>
        </w:rPr>
        <w:fldChar w:fldCharType="end"/>
      </w:r>
      <w:r w:rsidRPr="00AD151D">
        <w:t xml:space="preserve"> </w:t>
      </w:r>
      <w:r w:rsidR="00DE6175" w:rsidRPr="00AD151D">
        <w:t>Breakdown of prices paid for RA only contracts in data set</w:t>
      </w:r>
      <w:bookmarkEnd w:id="118"/>
    </w:p>
    <w:p w:rsidR="00BB596F" w:rsidRPr="00AD151D" w:rsidRDefault="002F5203" w:rsidP="00586B1F">
      <w:pPr>
        <w:keepNext/>
        <w:keepLines/>
        <w:spacing w:before="120"/>
        <w:rPr>
          <w:sz w:val="20"/>
          <w:szCs w:val="20"/>
        </w:rPr>
      </w:pPr>
      <w:r>
        <w:rPr>
          <w:noProof/>
          <w:sz w:val="20"/>
          <w:szCs w:val="20"/>
        </w:rPr>
        <w:drawing>
          <wp:inline distT="0" distB="0" distL="0" distR="0" wp14:anchorId="487998EB" wp14:editId="7BEC5499">
            <wp:extent cx="4899804" cy="266556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7810" cy="2664477"/>
                    </a:xfrm>
                    <a:prstGeom prst="rect">
                      <a:avLst/>
                    </a:prstGeom>
                    <a:noFill/>
                  </pic:spPr>
                </pic:pic>
              </a:graphicData>
            </a:graphic>
          </wp:inline>
        </w:drawing>
      </w:r>
    </w:p>
    <w:p w:rsidR="00DE6175" w:rsidRDefault="00DE6175" w:rsidP="00586B1F">
      <w:pPr>
        <w:keepNext/>
        <w:keepLines/>
        <w:spacing w:before="120"/>
        <w:rPr>
          <w:sz w:val="20"/>
          <w:szCs w:val="20"/>
        </w:rPr>
      </w:pPr>
      <w:r w:rsidRPr="00AD151D">
        <w:rPr>
          <w:sz w:val="20"/>
          <w:szCs w:val="20"/>
        </w:rPr>
        <w:t>Source: 2012 Energy Division survey of IOUs and ESPs, September 2012</w:t>
      </w:r>
    </w:p>
    <w:p w:rsidR="00044E7C" w:rsidRDefault="00044E7C" w:rsidP="00075EA6">
      <w:pPr>
        <w:widowControl w:val="0"/>
        <w:spacing w:before="120"/>
        <w:rPr>
          <w:sz w:val="20"/>
          <w:szCs w:val="20"/>
        </w:rPr>
      </w:pPr>
    </w:p>
    <w:p w:rsidR="00DE6175" w:rsidRPr="00AD151D" w:rsidRDefault="00DE6175" w:rsidP="00075EA6">
      <w:pPr>
        <w:pStyle w:val="Caption"/>
        <w:keepNext/>
        <w:keepLines/>
        <w:spacing w:before="120"/>
      </w:pPr>
      <w:bookmarkStart w:id="119" w:name="_Ref347420917"/>
      <w:bookmarkStart w:id="120" w:name="_Toc347827093"/>
      <w:r w:rsidRPr="00AD151D">
        <w:t xml:space="preserve">Figure </w:t>
      </w:r>
      <w:r w:rsidR="00B3535E">
        <w:fldChar w:fldCharType="begin"/>
      </w:r>
      <w:r w:rsidR="00B3535E">
        <w:instrText xml:space="preserve"> SEQ Figure \* ARABIC </w:instrText>
      </w:r>
      <w:r w:rsidR="00B3535E">
        <w:fldChar w:fldCharType="separate"/>
      </w:r>
      <w:r w:rsidR="00B3535E">
        <w:rPr>
          <w:noProof/>
        </w:rPr>
        <w:t>4</w:t>
      </w:r>
      <w:r w:rsidR="00B3535E">
        <w:rPr>
          <w:noProof/>
        </w:rPr>
        <w:fldChar w:fldCharType="end"/>
      </w:r>
      <w:r w:rsidRPr="00AD151D">
        <w:t xml:space="preserve"> Breakdown of prices paid for RA only contracts with System Resources</w:t>
      </w:r>
      <w:bookmarkEnd w:id="119"/>
      <w:bookmarkEnd w:id="120"/>
    </w:p>
    <w:p w:rsidR="00DE6175" w:rsidRPr="00AD151D" w:rsidRDefault="002F5203" w:rsidP="00075EA6">
      <w:pPr>
        <w:keepNext/>
        <w:keepLines/>
        <w:spacing w:before="120"/>
      </w:pPr>
      <w:r>
        <w:rPr>
          <w:noProof/>
        </w:rPr>
        <w:drawing>
          <wp:inline distT="0" distB="0" distL="0" distR="0" wp14:anchorId="178370D6" wp14:editId="288C7C56">
            <wp:extent cx="4716780" cy="2750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6780" cy="2750820"/>
                    </a:xfrm>
                    <a:prstGeom prst="rect">
                      <a:avLst/>
                    </a:prstGeom>
                    <a:noFill/>
                  </pic:spPr>
                </pic:pic>
              </a:graphicData>
            </a:graphic>
          </wp:inline>
        </w:drawing>
      </w:r>
    </w:p>
    <w:p w:rsidR="00DE6175" w:rsidRPr="00AD151D" w:rsidRDefault="00DE6175" w:rsidP="00075EA6">
      <w:pPr>
        <w:keepNext/>
        <w:keepLines/>
        <w:spacing w:before="120"/>
        <w:rPr>
          <w:sz w:val="20"/>
          <w:szCs w:val="20"/>
        </w:rPr>
      </w:pPr>
      <w:r w:rsidRPr="00AD151D">
        <w:rPr>
          <w:sz w:val="20"/>
          <w:szCs w:val="20"/>
        </w:rPr>
        <w:t>Source: 2012 Energy Division survey of IOUs and ESPs, September 2012</w:t>
      </w:r>
    </w:p>
    <w:p w:rsidR="00DE6175" w:rsidRPr="00AD151D" w:rsidRDefault="00DE6175" w:rsidP="00DE6175">
      <w:pPr>
        <w:widowControl w:val="0"/>
        <w:spacing w:before="120"/>
      </w:pPr>
    </w:p>
    <w:p w:rsidR="00DE6175" w:rsidRPr="00AD151D" w:rsidRDefault="00DE6175" w:rsidP="00075EA6">
      <w:pPr>
        <w:pStyle w:val="Caption"/>
        <w:keepNext/>
        <w:keepLines/>
        <w:spacing w:before="120"/>
      </w:pPr>
      <w:bookmarkStart w:id="121" w:name="_Toc347827094"/>
      <w:r w:rsidRPr="00AD151D">
        <w:lastRenderedPageBreak/>
        <w:t xml:space="preserve">Figure </w:t>
      </w:r>
      <w:r w:rsidR="00B3535E">
        <w:fldChar w:fldCharType="begin"/>
      </w:r>
      <w:r w:rsidR="00B3535E">
        <w:instrText xml:space="preserve"> SEQ Figure \* ARABIC </w:instrText>
      </w:r>
      <w:r w:rsidR="00B3535E">
        <w:fldChar w:fldCharType="separate"/>
      </w:r>
      <w:r w:rsidR="00B3535E">
        <w:rPr>
          <w:noProof/>
        </w:rPr>
        <w:t>5</w:t>
      </w:r>
      <w:r w:rsidR="00B3535E">
        <w:rPr>
          <w:noProof/>
        </w:rPr>
        <w:fldChar w:fldCharType="end"/>
      </w:r>
      <w:r w:rsidRPr="00AD151D">
        <w:t xml:space="preserve"> Breakdown of prices paid for RA contracts with NP26 Resources</w:t>
      </w:r>
      <w:bookmarkEnd w:id="121"/>
    </w:p>
    <w:p w:rsidR="00DE6175" w:rsidRPr="00AD151D" w:rsidRDefault="002F5203" w:rsidP="00075EA6">
      <w:pPr>
        <w:keepNext/>
        <w:keepLines/>
        <w:spacing w:before="120"/>
      </w:pPr>
      <w:r>
        <w:rPr>
          <w:noProof/>
        </w:rPr>
        <w:drawing>
          <wp:inline distT="0" distB="0" distL="0" distR="0" wp14:anchorId="308ACABB" wp14:editId="57903974">
            <wp:extent cx="4732020" cy="2750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2020" cy="2750820"/>
                    </a:xfrm>
                    <a:prstGeom prst="rect">
                      <a:avLst/>
                    </a:prstGeom>
                    <a:noFill/>
                  </pic:spPr>
                </pic:pic>
              </a:graphicData>
            </a:graphic>
          </wp:inline>
        </w:drawing>
      </w:r>
    </w:p>
    <w:p w:rsidR="00DE6175" w:rsidRPr="00AD151D" w:rsidRDefault="00DE6175" w:rsidP="00075EA6">
      <w:pPr>
        <w:keepNext/>
        <w:keepLines/>
        <w:spacing w:before="120"/>
        <w:rPr>
          <w:sz w:val="20"/>
          <w:szCs w:val="20"/>
        </w:rPr>
      </w:pPr>
      <w:r w:rsidRPr="00AD151D">
        <w:rPr>
          <w:sz w:val="20"/>
          <w:szCs w:val="20"/>
        </w:rPr>
        <w:t>Source: 2012 Energy Division survey of IOUs and ESPs, September 2012</w:t>
      </w:r>
    </w:p>
    <w:p w:rsidR="00DE6175" w:rsidRPr="00AD151D" w:rsidRDefault="00DE6175" w:rsidP="00DE6175">
      <w:pPr>
        <w:widowControl w:val="0"/>
        <w:spacing w:before="120"/>
        <w:rPr>
          <w:sz w:val="20"/>
          <w:szCs w:val="20"/>
        </w:rPr>
      </w:pPr>
    </w:p>
    <w:p w:rsidR="00DE6175" w:rsidRPr="00AD151D" w:rsidRDefault="00DE6175" w:rsidP="00075EA6">
      <w:pPr>
        <w:pStyle w:val="Caption"/>
        <w:keepNext/>
        <w:keepLines/>
        <w:spacing w:before="120"/>
      </w:pPr>
      <w:bookmarkStart w:id="122" w:name="_Toc347827095"/>
      <w:r w:rsidRPr="00AD151D">
        <w:t xml:space="preserve">Figure </w:t>
      </w:r>
      <w:r w:rsidR="00B3535E">
        <w:fldChar w:fldCharType="begin"/>
      </w:r>
      <w:r w:rsidR="00B3535E">
        <w:instrText xml:space="preserve"> SEQ Figure \* ARABIC </w:instrText>
      </w:r>
      <w:r w:rsidR="00B3535E">
        <w:fldChar w:fldCharType="separate"/>
      </w:r>
      <w:r w:rsidR="00B3535E">
        <w:rPr>
          <w:noProof/>
        </w:rPr>
        <w:t>6</w:t>
      </w:r>
      <w:r w:rsidR="00B3535E">
        <w:rPr>
          <w:noProof/>
        </w:rPr>
        <w:fldChar w:fldCharType="end"/>
      </w:r>
      <w:r w:rsidRPr="00AD151D">
        <w:t xml:space="preserve"> Breakdown of prices paid for RA only contracts with SP26 Resources</w:t>
      </w:r>
      <w:bookmarkEnd w:id="122"/>
    </w:p>
    <w:p w:rsidR="00DE6175" w:rsidRPr="00AD151D" w:rsidRDefault="002F5203" w:rsidP="00075EA6">
      <w:pPr>
        <w:keepNext/>
        <w:keepLines/>
        <w:spacing w:before="120"/>
        <w:rPr>
          <w:sz w:val="20"/>
          <w:szCs w:val="20"/>
        </w:rPr>
      </w:pPr>
      <w:r>
        <w:rPr>
          <w:noProof/>
          <w:sz w:val="20"/>
          <w:szCs w:val="20"/>
        </w:rPr>
        <w:drawing>
          <wp:inline distT="0" distB="0" distL="0" distR="0" wp14:anchorId="52F908F5" wp14:editId="36D97579">
            <wp:extent cx="4945380" cy="31013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5380" cy="3101340"/>
                    </a:xfrm>
                    <a:prstGeom prst="rect">
                      <a:avLst/>
                    </a:prstGeom>
                    <a:noFill/>
                  </pic:spPr>
                </pic:pic>
              </a:graphicData>
            </a:graphic>
          </wp:inline>
        </w:drawing>
      </w:r>
    </w:p>
    <w:p w:rsidR="00DE6175" w:rsidRPr="00AD151D" w:rsidRDefault="00DE6175" w:rsidP="00075EA6">
      <w:pPr>
        <w:keepNext/>
        <w:keepLines/>
        <w:spacing w:before="120"/>
        <w:rPr>
          <w:sz w:val="20"/>
          <w:szCs w:val="20"/>
        </w:rPr>
      </w:pPr>
      <w:r w:rsidRPr="00AD151D">
        <w:rPr>
          <w:sz w:val="20"/>
          <w:szCs w:val="20"/>
        </w:rPr>
        <w:t>Source: 2012 Energy Division survey of IOUs and ESPs, September 2012</w:t>
      </w:r>
    </w:p>
    <w:p w:rsidR="00DE6175" w:rsidRPr="00AD151D" w:rsidRDefault="00DE6175" w:rsidP="004A2ECB">
      <w:pPr>
        <w:widowControl w:val="0"/>
        <w:spacing w:before="120"/>
        <w:rPr>
          <w:sz w:val="20"/>
          <w:szCs w:val="20"/>
        </w:rPr>
      </w:pPr>
    </w:p>
    <w:p w:rsidR="00DE6175" w:rsidRPr="00AD151D" w:rsidRDefault="00DE6175" w:rsidP="004C3C54">
      <w:pPr>
        <w:pStyle w:val="Caption"/>
        <w:keepNext/>
        <w:keepLines/>
        <w:spacing w:before="120"/>
      </w:pPr>
      <w:bookmarkStart w:id="123" w:name="_Toc347827096"/>
      <w:r w:rsidRPr="00AD151D">
        <w:lastRenderedPageBreak/>
        <w:t xml:space="preserve">Figure </w:t>
      </w:r>
      <w:r w:rsidR="00B3535E">
        <w:fldChar w:fldCharType="begin"/>
      </w:r>
      <w:r w:rsidR="00B3535E">
        <w:instrText xml:space="preserve"> SEQ Figure \* ARABI</w:instrText>
      </w:r>
      <w:r w:rsidR="00B3535E">
        <w:instrText xml:space="preserve">C </w:instrText>
      </w:r>
      <w:r w:rsidR="00B3535E">
        <w:fldChar w:fldCharType="separate"/>
      </w:r>
      <w:r w:rsidR="00B3535E">
        <w:rPr>
          <w:noProof/>
        </w:rPr>
        <w:t>7</w:t>
      </w:r>
      <w:r w:rsidR="00B3535E">
        <w:rPr>
          <w:noProof/>
        </w:rPr>
        <w:fldChar w:fldCharType="end"/>
      </w:r>
      <w:r w:rsidRPr="00AD151D">
        <w:t xml:space="preserve"> Breakdown of prices paid for Local RA only contracts</w:t>
      </w:r>
      <w:bookmarkEnd w:id="123"/>
    </w:p>
    <w:p w:rsidR="00BB596F" w:rsidRPr="00AD151D" w:rsidRDefault="002F5203" w:rsidP="00277DC8">
      <w:pPr>
        <w:keepNext/>
        <w:keepLines/>
        <w:spacing w:before="120"/>
        <w:rPr>
          <w:sz w:val="20"/>
          <w:szCs w:val="20"/>
        </w:rPr>
      </w:pPr>
      <w:r>
        <w:rPr>
          <w:noProof/>
          <w:sz w:val="20"/>
          <w:szCs w:val="20"/>
        </w:rPr>
        <w:drawing>
          <wp:inline distT="0" distB="0" distL="0" distR="0" wp14:anchorId="4F7C6DF6" wp14:editId="73934963">
            <wp:extent cx="4732020" cy="2750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2020" cy="2750820"/>
                    </a:xfrm>
                    <a:prstGeom prst="rect">
                      <a:avLst/>
                    </a:prstGeom>
                    <a:noFill/>
                  </pic:spPr>
                </pic:pic>
              </a:graphicData>
            </a:graphic>
          </wp:inline>
        </w:drawing>
      </w:r>
    </w:p>
    <w:p w:rsidR="000D7850" w:rsidRPr="00AD151D" w:rsidRDefault="00DE6175" w:rsidP="002F5203">
      <w:pPr>
        <w:pStyle w:val="Caption"/>
        <w:keepNext/>
        <w:keepLines/>
        <w:spacing w:before="120"/>
        <w:rPr>
          <w:b w:val="0"/>
        </w:rPr>
      </w:pPr>
      <w:r w:rsidRPr="00AD151D">
        <w:rPr>
          <w:b w:val="0"/>
        </w:rPr>
        <w:t>Source: 2012 Energy Division survey of IOUs and ESPs, September 2012</w:t>
      </w:r>
    </w:p>
    <w:p w:rsidR="000D7850" w:rsidRPr="00AD151D" w:rsidRDefault="000D7850" w:rsidP="006645E2">
      <w:pPr>
        <w:pStyle w:val="Caption"/>
        <w:widowControl w:val="0"/>
      </w:pPr>
    </w:p>
    <w:p w:rsidR="00DE6175" w:rsidRPr="00AD151D" w:rsidRDefault="00350B99" w:rsidP="002F5203">
      <w:pPr>
        <w:pStyle w:val="Caption"/>
        <w:widowControl w:val="0"/>
        <w:spacing w:before="120"/>
      </w:pPr>
      <w:bookmarkStart w:id="124" w:name="_Toc347827097"/>
      <w:r w:rsidRPr="00AD151D">
        <w:t xml:space="preserve">Figure </w:t>
      </w:r>
      <w:r w:rsidR="00B3535E">
        <w:fldChar w:fldCharType="begin"/>
      </w:r>
      <w:r w:rsidR="00B3535E">
        <w:instrText xml:space="preserve"> SEQ Figure \* ARABIC </w:instrText>
      </w:r>
      <w:r w:rsidR="00B3535E">
        <w:fldChar w:fldCharType="separate"/>
      </w:r>
      <w:r w:rsidR="00B3535E">
        <w:rPr>
          <w:noProof/>
        </w:rPr>
        <w:t>8</w:t>
      </w:r>
      <w:r w:rsidR="00B3535E">
        <w:rPr>
          <w:noProof/>
        </w:rPr>
        <w:fldChar w:fldCharType="end"/>
      </w:r>
      <w:r w:rsidRPr="00AD151D">
        <w:t xml:space="preserve"> </w:t>
      </w:r>
      <w:r w:rsidR="000D7850" w:rsidRPr="00AD151D">
        <w:t>Local RA Prices Paid NP26</w:t>
      </w:r>
      <w:bookmarkEnd w:id="124"/>
      <w:r w:rsidR="000D7850" w:rsidRPr="00AD151D">
        <w:t xml:space="preserve"> </w:t>
      </w:r>
    </w:p>
    <w:p w:rsidR="00DE6175" w:rsidRPr="00AD151D" w:rsidRDefault="002F5203" w:rsidP="002F5203">
      <w:pPr>
        <w:widowControl w:val="0"/>
        <w:spacing w:before="120"/>
      </w:pPr>
      <w:r>
        <w:rPr>
          <w:noProof/>
        </w:rPr>
        <w:drawing>
          <wp:inline distT="0" distB="0" distL="0" distR="0" wp14:anchorId="6F97D894" wp14:editId="2F5C8B85">
            <wp:extent cx="5210355" cy="2493034"/>
            <wp:effectExtent l="0" t="0" r="952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9210" cy="2492486"/>
                    </a:xfrm>
                    <a:prstGeom prst="rect">
                      <a:avLst/>
                    </a:prstGeom>
                    <a:noFill/>
                  </pic:spPr>
                </pic:pic>
              </a:graphicData>
            </a:graphic>
          </wp:inline>
        </w:drawing>
      </w:r>
    </w:p>
    <w:p w:rsidR="00DE6175" w:rsidRPr="00AD151D" w:rsidRDefault="00DE6175" w:rsidP="002F5203">
      <w:pPr>
        <w:widowControl w:val="0"/>
        <w:spacing w:before="120"/>
        <w:rPr>
          <w:sz w:val="20"/>
          <w:szCs w:val="20"/>
        </w:rPr>
      </w:pPr>
      <w:r w:rsidRPr="00AD151D">
        <w:rPr>
          <w:sz w:val="20"/>
          <w:szCs w:val="20"/>
        </w:rPr>
        <w:t>Source: 2012 Energy Division survey of IOUs and ESPs, September 2012</w:t>
      </w:r>
    </w:p>
    <w:p w:rsidR="00350B99" w:rsidRPr="00AD151D" w:rsidRDefault="00350B99" w:rsidP="00075EA6">
      <w:pPr>
        <w:keepNext/>
        <w:keepLines/>
        <w:spacing w:before="120"/>
        <w:rPr>
          <w:sz w:val="20"/>
          <w:szCs w:val="20"/>
        </w:rPr>
      </w:pPr>
    </w:p>
    <w:p w:rsidR="000D7850" w:rsidRPr="00AD151D" w:rsidRDefault="000D7850" w:rsidP="00350B99">
      <w:pPr>
        <w:pStyle w:val="Caption"/>
        <w:keepNext/>
        <w:keepLines/>
      </w:pPr>
      <w:bookmarkStart w:id="125" w:name="_Toc347316238"/>
    </w:p>
    <w:p w:rsidR="00350B99" w:rsidRPr="00AD151D" w:rsidRDefault="00350B99" w:rsidP="00075EA6">
      <w:pPr>
        <w:pStyle w:val="Caption"/>
        <w:keepNext/>
        <w:keepLines/>
        <w:spacing w:before="120"/>
      </w:pPr>
      <w:bookmarkStart w:id="126" w:name="_Toc347827098"/>
      <w:r w:rsidRPr="00AD151D">
        <w:t xml:space="preserve">Figure </w:t>
      </w:r>
      <w:r w:rsidR="00B3535E">
        <w:fldChar w:fldCharType="begin"/>
      </w:r>
      <w:r w:rsidR="00B3535E">
        <w:instrText xml:space="preserve"> SEQ Figure \* ARABIC </w:instrText>
      </w:r>
      <w:r w:rsidR="00B3535E">
        <w:fldChar w:fldCharType="separate"/>
      </w:r>
      <w:r w:rsidR="00B3535E">
        <w:rPr>
          <w:noProof/>
        </w:rPr>
        <w:t>9</w:t>
      </w:r>
      <w:bookmarkEnd w:id="125"/>
      <w:r w:rsidR="00B3535E">
        <w:rPr>
          <w:noProof/>
        </w:rPr>
        <w:fldChar w:fldCharType="end"/>
      </w:r>
      <w:r w:rsidR="000D7850" w:rsidRPr="00AD151D">
        <w:rPr>
          <w:noProof/>
        </w:rPr>
        <w:t xml:space="preserve"> Local RA Prices Paid SP 26</w:t>
      </w:r>
      <w:bookmarkEnd w:id="126"/>
    </w:p>
    <w:p w:rsidR="00DE6175" w:rsidRPr="00AD151D" w:rsidRDefault="002F5203" w:rsidP="00075EA6">
      <w:pPr>
        <w:pStyle w:val="Caption"/>
        <w:keepNext/>
        <w:keepLines/>
        <w:spacing w:before="120"/>
      </w:pPr>
      <w:r>
        <w:rPr>
          <w:noProof/>
        </w:rPr>
        <w:drawing>
          <wp:inline distT="0" distB="0" distL="0" distR="0" wp14:anchorId="0C613A6C" wp14:editId="090AF131">
            <wp:extent cx="4671060" cy="27584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1060" cy="2758440"/>
                    </a:xfrm>
                    <a:prstGeom prst="rect">
                      <a:avLst/>
                    </a:prstGeom>
                    <a:noFill/>
                  </pic:spPr>
                </pic:pic>
              </a:graphicData>
            </a:graphic>
          </wp:inline>
        </w:drawing>
      </w:r>
    </w:p>
    <w:p w:rsidR="00DE6175" w:rsidRPr="00AD151D" w:rsidRDefault="00DE6175" w:rsidP="00075EA6">
      <w:pPr>
        <w:keepNext/>
        <w:keepLines/>
        <w:spacing w:before="120"/>
        <w:rPr>
          <w:sz w:val="20"/>
          <w:szCs w:val="20"/>
        </w:rPr>
      </w:pPr>
      <w:r w:rsidRPr="00AD151D">
        <w:rPr>
          <w:sz w:val="20"/>
          <w:szCs w:val="20"/>
        </w:rPr>
        <w:t>Source: 2012 Energy Division survey of IOUs and ESPs, September 2012</w:t>
      </w:r>
    </w:p>
    <w:p w:rsidR="00AE7D50" w:rsidRPr="00AD151D" w:rsidRDefault="00AE7D50" w:rsidP="00903E7D"/>
    <w:p w:rsidR="00AE7D50" w:rsidRPr="00AD151D" w:rsidRDefault="00AE7D50">
      <w:pPr>
        <w:pStyle w:val="Heading1"/>
        <w:numPr>
          <w:ilvl w:val="0"/>
          <w:numId w:val="18"/>
        </w:numPr>
        <w:spacing w:before="120"/>
      </w:pPr>
      <w:bookmarkStart w:id="127" w:name="_Toc347827061"/>
      <w:r w:rsidRPr="00AD151D">
        <w:t>Compliance with RAR</w:t>
      </w:r>
      <w:bookmarkEnd w:id="127"/>
      <w:r w:rsidRPr="00AD151D">
        <w:tab/>
      </w:r>
    </w:p>
    <w:p w:rsidR="00AE7D50" w:rsidRPr="00AD151D" w:rsidRDefault="00AE7D50">
      <w:pPr>
        <w:spacing w:before="120"/>
        <w:ind w:firstLine="720"/>
      </w:pPr>
      <w:r w:rsidRPr="00AD151D">
        <w:t>CPUC staff continued the implementation of the RA program during 2011 and built on accrued experience from past years.  As in previous years, Energy Division hosted a workshop on July 2010 to discuss general compliance rules as well as to highlight changes in procedures or filing rules new to 2011 compliance year.  Final 2011 templates and guides were made available to LSEs on August, 2010.</w:t>
      </w:r>
    </w:p>
    <w:p w:rsidR="00AE7D50" w:rsidRPr="00277DC8" w:rsidRDefault="00AE7D50">
      <w:pPr>
        <w:pStyle w:val="Heading2"/>
        <w:numPr>
          <w:ilvl w:val="1"/>
          <w:numId w:val="18"/>
        </w:numPr>
        <w:spacing w:before="120"/>
        <w:rPr>
          <w:i w:val="0"/>
        </w:rPr>
      </w:pPr>
      <w:bookmarkStart w:id="128" w:name="_Toc347827062"/>
      <w:r w:rsidRPr="00277DC8">
        <w:rPr>
          <w:i w:val="0"/>
        </w:rPr>
        <w:t>Overview of the RA Filing Process</w:t>
      </w:r>
      <w:bookmarkEnd w:id="128"/>
      <w:r w:rsidRPr="00277DC8">
        <w:rPr>
          <w:i w:val="0"/>
        </w:rPr>
        <w:tab/>
      </w:r>
    </w:p>
    <w:p w:rsidR="00AE7D50" w:rsidRPr="00AD151D" w:rsidRDefault="00AE7D50">
      <w:pPr>
        <w:spacing w:before="120"/>
        <w:ind w:firstLine="720"/>
      </w:pPr>
      <w:r w:rsidRPr="00AD151D">
        <w:t>The 2011 System and Local RA filing templates and guides were very similar to the 2010 filing templates and guides.  Some changes were made to accommodate the new Local RA True up process.  As with previous years, the CPUC required that all filings be submitted simultaneously to the CAISO, CPUC, and CEC.</w:t>
      </w:r>
    </w:p>
    <w:p w:rsidR="00AE7D50" w:rsidRPr="00AD151D" w:rsidRDefault="00AE7D50">
      <w:pPr>
        <w:spacing w:before="120"/>
        <w:ind w:firstLine="720"/>
      </w:pPr>
      <w:r w:rsidRPr="00AD151D">
        <w:t xml:space="preserve">The RA filing process involves load forecasting duties performed by the CEC, supply plan validations performed by the CAISO, </w:t>
      </w:r>
      <w:r w:rsidR="001D266C">
        <w:t>with</w:t>
      </w:r>
      <w:r w:rsidRPr="00AD151D">
        <w:t xml:space="preserve"> Demand Response, Local RA, and CAM and RMR allocations performed by the Energy Division. Additionally Energy Division evaluates every submitted RA filing, and continually works with LSEs to improve the RA administration process.   </w:t>
      </w:r>
      <w:r w:rsidR="00AC45E9" w:rsidRPr="00AD151D">
        <w:t xml:space="preserve">  </w:t>
      </w:r>
      <w:r w:rsidRPr="00AD151D">
        <w:t xml:space="preserve"> </w:t>
      </w:r>
    </w:p>
    <w:p w:rsidR="00AE7D50" w:rsidRPr="00277DC8" w:rsidRDefault="00AE7D50">
      <w:pPr>
        <w:pStyle w:val="Heading2"/>
        <w:numPr>
          <w:ilvl w:val="1"/>
          <w:numId w:val="18"/>
        </w:numPr>
        <w:spacing w:before="120"/>
        <w:rPr>
          <w:i w:val="0"/>
        </w:rPr>
      </w:pPr>
      <w:bookmarkStart w:id="129" w:name="_Toc347827063"/>
      <w:r w:rsidRPr="00277DC8">
        <w:rPr>
          <w:i w:val="0"/>
        </w:rPr>
        <w:t>Working with Stakeholders to Improve the Compliance Review Process</w:t>
      </w:r>
      <w:bookmarkEnd w:id="129"/>
      <w:r w:rsidRPr="00277DC8">
        <w:rPr>
          <w:i w:val="0"/>
        </w:rPr>
        <w:tab/>
      </w:r>
    </w:p>
    <w:p w:rsidR="00AE7D50" w:rsidRPr="00AD151D" w:rsidRDefault="00AE7D50">
      <w:pPr>
        <w:spacing w:before="120"/>
        <w:ind w:firstLine="720"/>
      </w:pPr>
      <w:r w:rsidRPr="00AD151D">
        <w:t xml:space="preserve">The CPUC checked the filings for compliance by verifying that each LSE’s submittal was accurate, timely, and satisfied all requirements. The CAISO reviewed the filings to check whether the RA filings submitted by LSEs were consistent with the </w:t>
      </w:r>
      <w:r w:rsidRPr="00AD151D">
        <w:lastRenderedPageBreak/>
        <w:t xml:space="preserve">supply plans submitted by generators, and used the submittals to let CAISO operations staff know which units were under contract and available.  The CEC reviewed the filings and the historical load information provided by the LSEs for the appropriate time period to determine whether those filings matched load forecasts.  </w:t>
      </w:r>
    </w:p>
    <w:p w:rsidR="003303D3" w:rsidRDefault="00AE7D50">
      <w:pPr>
        <w:spacing w:before="120"/>
        <w:ind w:firstLine="720"/>
      </w:pPr>
      <w:r w:rsidRPr="00AD151D">
        <w:t xml:space="preserve">In 2010, CPUC Staff continued to work closely with LSEs to resolve any questions regarding the RA filing process and templates.  CPUC Staff </w:t>
      </w:r>
      <w:r w:rsidR="003303D3">
        <w:t>provide</w:t>
      </w:r>
      <w:r w:rsidRPr="00AD151D">
        <w:t xml:space="preserve"> answers to numerous questions raised by LSEs that have special or unique circumstances.  CPUC Staff </w:t>
      </w:r>
      <w:r w:rsidR="003303D3">
        <w:t>expects t</w:t>
      </w:r>
      <w:r w:rsidR="003303D3" w:rsidRPr="00AD151D">
        <w:t xml:space="preserve">hat </w:t>
      </w:r>
      <w:r w:rsidR="003303D3">
        <w:t xml:space="preserve">training and </w:t>
      </w:r>
      <w:r w:rsidRPr="00AD151D">
        <w:t xml:space="preserve">working with the LSEs to reconcile differences and make revisions will continue to lead to fewer questions in the future and make the RA filing process smoother.  </w:t>
      </w:r>
      <w:r w:rsidR="000E41DF" w:rsidRPr="00AD151D">
        <w:t xml:space="preserve">Due to the administrative obligations of the RA Program, Energy Division Staff </w:t>
      </w:r>
      <w:r w:rsidR="000E41DF">
        <w:t>tries to continually</w:t>
      </w:r>
      <w:r w:rsidR="000E41DF" w:rsidRPr="00AD151D">
        <w:t xml:space="preserve"> simplify and streamline filing procedures, </w:t>
      </w:r>
      <w:r w:rsidR="000E41DF">
        <w:t xml:space="preserve">e.g. </w:t>
      </w:r>
      <w:r w:rsidR="000E41DF" w:rsidRPr="00AD151D">
        <w:t>accept</w:t>
      </w:r>
      <w:r w:rsidR="00873366">
        <w:t>ing</w:t>
      </w:r>
      <w:r w:rsidR="000E41DF" w:rsidRPr="00AD151D">
        <w:t xml:space="preserve"> RA Filings electronically via a Secure FTP application</w:t>
      </w:r>
      <w:r w:rsidR="000E41DF">
        <w:t xml:space="preserve"> to reduce late filings</w:t>
      </w:r>
      <w:r w:rsidR="000E41DF" w:rsidRPr="00AD151D">
        <w:t xml:space="preserve">.  </w:t>
      </w:r>
    </w:p>
    <w:p w:rsidR="00AE7D50" w:rsidRDefault="00AE7D50">
      <w:pPr>
        <w:spacing w:before="120"/>
        <w:ind w:firstLine="720"/>
      </w:pPr>
      <w:r w:rsidRPr="00AD151D">
        <w:t xml:space="preserve">CPUC Staff, in a coordinated effort with the CEC and CAISO, reviewed all compliance filings received to date </w:t>
      </w:r>
      <w:r w:rsidR="003303D3">
        <w:t>in</w:t>
      </w:r>
      <w:r w:rsidR="003F36BA">
        <w:t xml:space="preserve"> </w:t>
      </w:r>
      <w:r w:rsidRPr="00AD151D">
        <w:t>accord</w:t>
      </w:r>
      <w:r w:rsidR="003303D3">
        <w:t>ance with</w:t>
      </w:r>
      <w:r w:rsidRPr="00AD151D">
        <w:t xml:space="preserve"> comprehensive procedure</w:t>
      </w:r>
      <w:r w:rsidR="003303D3">
        <w:t>s</w:t>
      </w:r>
      <w:r w:rsidRPr="00AD151D">
        <w:t xml:space="preserve"> that include</w:t>
      </w:r>
      <w:r w:rsidR="003303D3">
        <w:t>;</w:t>
      </w:r>
      <w:r w:rsidRPr="00AD151D">
        <w:t xml:space="preserve"> verifying timely arrival of the filings, matching resources listed against those of the NQC list, confirming compliance with local and Path 26 requirements, and requesting corrections.  </w:t>
      </w:r>
      <w:r w:rsidR="003303D3">
        <w:t xml:space="preserve">A vital step of this process </w:t>
      </w:r>
      <w:r w:rsidR="003F36BA">
        <w:t>relies on t</w:t>
      </w:r>
      <w:r w:rsidRPr="00AD151D">
        <w:t>he CAISO collect</w:t>
      </w:r>
      <w:r w:rsidR="003F36BA">
        <w:t>ing</w:t>
      </w:r>
      <w:r w:rsidRPr="00AD151D">
        <w:t xml:space="preserve"> and organiz</w:t>
      </w:r>
      <w:r w:rsidR="003F36BA">
        <w:t>ing</w:t>
      </w:r>
      <w:r w:rsidRPr="00AD151D">
        <w:t xml:space="preserve"> supply plans submitted by generators, </w:t>
      </w:r>
      <w:r w:rsidR="003F36BA">
        <w:t>who then</w:t>
      </w:r>
      <w:r w:rsidRPr="00AD151D">
        <w:t xml:space="preserve"> helps Energy Division </w:t>
      </w:r>
      <w:r w:rsidR="003F36BA">
        <w:t>match</w:t>
      </w:r>
      <w:r w:rsidRPr="00AD151D">
        <w:t xml:space="preserve"> the supply plans to the LSE filings.  Energy Division</w:t>
      </w:r>
      <w:r w:rsidR="00BB2D00">
        <w:t xml:space="preserve"> verifies compliance and</w:t>
      </w:r>
      <w:r w:rsidRPr="00AD151D">
        <w:t xml:space="preserve"> approves filings and sends an approval letter to each LSE.  </w:t>
      </w:r>
    </w:p>
    <w:p w:rsidR="008D3D46" w:rsidRPr="00AD151D" w:rsidRDefault="008D3D46">
      <w:pPr>
        <w:spacing w:before="120"/>
        <w:ind w:firstLine="720"/>
      </w:pPr>
      <w:r w:rsidRPr="00AD151D">
        <w:t xml:space="preserve">Every year, Energy Division staff holds a workshop to go over the adopted templates for the up-coming compliance year.  Energy Division staff goes through the process of filling out the template and avoiding errors that may lead to non-compliance.  There is also an instruction tab located on these templates that details how to fill in the templates.  The tools are there to assist all LSEs in showing compliance with the RA program and clarifying any confusion that could lead to errors causing non-compliance.   </w:t>
      </w:r>
    </w:p>
    <w:p w:rsidR="00AE7D50" w:rsidRDefault="00AE7D50">
      <w:pPr>
        <w:pStyle w:val="Heading2"/>
        <w:numPr>
          <w:ilvl w:val="1"/>
          <w:numId w:val="18"/>
        </w:numPr>
        <w:rPr>
          <w:i w:val="0"/>
        </w:rPr>
      </w:pPr>
      <w:bookmarkStart w:id="130" w:name="_Toc347827064"/>
      <w:r w:rsidRPr="00277DC8">
        <w:rPr>
          <w:i w:val="0"/>
        </w:rPr>
        <w:t>Enforcement and Compliance</w:t>
      </w:r>
      <w:bookmarkEnd w:id="130"/>
    </w:p>
    <w:p w:rsidR="00B717E9" w:rsidRPr="00B717E9" w:rsidRDefault="00B717E9" w:rsidP="004D507D">
      <w:pPr>
        <w:ind w:firstLine="576"/>
      </w:pPr>
      <w:r w:rsidRPr="00AD151D">
        <w:t xml:space="preserve">The essence of the RAR program is mandatory LSE acquisition of capacity to meet load and reserve requirements.  The short timeframes in which CPUC, CAISO and CEC Staff must verify that adequate capacity has been procured and to complete backstop procurement if necessary creates a need for filings to arrive on time and be correct.  Non-compliance occurs if either an LSE files with a procurement deficiency (i.e. it did not meet its RA obligations) or does not file at all, files late, or not in the manner required.  These types of non-compliance generally lead to enforcement actions or citations.  Although CPUC staff has not experienced a situation where backstop procurement by the CAISO has resulted from CPUC jurisdictional LSE procurement deficiencies, the situation may occur if compliance is not strictly enforced.  </w:t>
      </w:r>
    </w:p>
    <w:p w:rsidR="00AE7D50" w:rsidRPr="003E1B1A" w:rsidRDefault="00AE7D50">
      <w:pPr>
        <w:pStyle w:val="Heading3"/>
        <w:numPr>
          <w:ilvl w:val="2"/>
          <w:numId w:val="18"/>
        </w:numPr>
      </w:pPr>
      <w:bookmarkStart w:id="131" w:name="_Toc347827065"/>
      <w:r w:rsidRPr="003E1B1A">
        <w:lastRenderedPageBreak/>
        <w:t>Enforcement actions taken 2006-2011 compliance years</w:t>
      </w:r>
      <w:bookmarkEnd w:id="131"/>
    </w:p>
    <w:p w:rsidR="004C3C54" w:rsidRPr="00957210" w:rsidRDefault="00AE7D50" w:rsidP="004D507D">
      <w:pPr>
        <w:pStyle w:val="Noraml"/>
        <w:spacing w:before="120" w:line="240" w:lineRule="auto"/>
        <w:rPr>
          <w:rFonts w:ascii="Times New Roman" w:hAnsi="Times New Roman"/>
          <w:sz w:val="24"/>
          <w:szCs w:val="24"/>
        </w:rPr>
      </w:pPr>
      <w:r w:rsidRPr="00957210">
        <w:rPr>
          <w:rFonts w:ascii="Times New Roman" w:hAnsi="Times New Roman"/>
          <w:sz w:val="24"/>
          <w:szCs w:val="24"/>
        </w:rPr>
        <w:t>Pursuant to Commission Resolution E-4195</w:t>
      </w:r>
      <w:r w:rsidRPr="00957210">
        <w:rPr>
          <w:rStyle w:val="FootnoteReference"/>
          <w:rFonts w:ascii="Times New Roman" w:hAnsi="Times New Roman"/>
          <w:sz w:val="24"/>
          <w:szCs w:val="24"/>
        </w:rPr>
        <w:footnoteReference w:id="32"/>
      </w:r>
      <w:r w:rsidRPr="00957210">
        <w:rPr>
          <w:rFonts w:ascii="Times New Roman" w:hAnsi="Times New Roman"/>
          <w:sz w:val="24"/>
          <w:szCs w:val="24"/>
        </w:rPr>
        <w:t>, Energy Division refers potential violations to the CPUC’s Consumer Protection and Safety Division (CPSD), which prosecutes enforcement cases related to the RA program on behalf of the Commission.</w:t>
      </w:r>
      <w:r w:rsidR="003E1B1A" w:rsidRPr="00957210">
        <w:rPr>
          <w:rFonts w:ascii="Times New Roman" w:hAnsi="Times New Roman"/>
          <w:sz w:val="24"/>
          <w:szCs w:val="24"/>
        </w:rPr>
        <w:t xml:space="preserve">  </w:t>
      </w:r>
      <w:r w:rsidR="000E41DF" w:rsidRPr="00957210">
        <w:rPr>
          <w:rFonts w:ascii="Times New Roman" w:hAnsi="Times New Roman"/>
          <w:sz w:val="24"/>
          <w:szCs w:val="24"/>
        </w:rPr>
        <w:t>In 2011 o</w:t>
      </w:r>
      <w:r w:rsidRPr="00957210">
        <w:rPr>
          <w:rFonts w:ascii="Times New Roman" w:hAnsi="Times New Roman"/>
          <w:sz w:val="24"/>
          <w:szCs w:val="24"/>
        </w:rPr>
        <w:t>verall compliance</w:t>
      </w:r>
      <w:r w:rsidR="000E41DF" w:rsidRPr="00957210">
        <w:rPr>
          <w:rFonts w:ascii="Times New Roman" w:hAnsi="Times New Roman"/>
          <w:sz w:val="24"/>
          <w:szCs w:val="24"/>
        </w:rPr>
        <w:t xml:space="preserve"> actions</w:t>
      </w:r>
      <w:r w:rsidRPr="00957210">
        <w:rPr>
          <w:rFonts w:ascii="Times New Roman" w:hAnsi="Times New Roman"/>
          <w:sz w:val="24"/>
          <w:szCs w:val="24"/>
        </w:rPr>
        <w:t xml:space="preserve"> decreased from the previous year. </w:t>
      </w:r>
      <w:r w:rsidR="004D507D" w:rsidRPr="00957210">
        <w:rPr>
          <w:rFonts w:ascii="Times New Roman" w:hAnsi="Times New Roman"/>
          <w:sz w:val="24"/>
          <w:szCs w:val="24"/>
        </w:rPr>
        <w:tab/>
      </w:r>
    </w:p>
    <w:p w:rsidR="00854291" w:rsidRPr="00957210" w:rsidRDefault="00F27FC0" w:rsidP="004D507D">
      <w:pPr>
        <w:pStyle w:val="Noraml"/>
        <w:spacing w:before="120" w:line="240" w:lineRule="auto"/>
        <w:rPr>
          <w:rFonts w:ascii="Times New Roman" w:hAnsi="Times New Roman"/>
          <w:sz w:val="24"/>
          <w:szCs w:val="24"/>
        </w:rPr>
      </w:pPr>
      <w:r w:rsidRPr="00957210">
        <w:rPr>
          <w:rFonts w:ascii="Times New Roman" w:hAnsi="Times New Roman"/>
          <w:sz w:val="24"/>
          <w:szCs w:val="24"/>
        </w:rPr>
        <w:fldChar w:fldCharType="begin"/>
      </w:r>
      <w:r w:rsidRPr="00957210">
        <w:rPr>
          <w:rFonts w:ascii="Times New Roman" w:hAnsi="Times New Roman"/>
          <w:sz w:val="24"/>
          <w:szCs w:val="24"/>
        </w:rPr>
        <w:instrText xml:space="preserve"> REF _Ref224719704 \h  \* MERGEFORMAT </w:instrText>
      </w:r>
      <w:r w:rsidRPr="00957210">
        <w:rPr>
          <w:rFonts w:ascii="Times New Roman" w:hAnsi="Times New Roman"/>
          <w:sz w:val="24"/>
          <w:szCs w:val="24"/>
        </w:rPr>
      </w:r>
      <w:r w:rsidRPr="00957210">
        <w:rPr>
          <w:rFonts w:ascii="Times New Roman" w:hAnsi="Times New Roman"/>
          <w:sz w:val="24"/>
          <w:szCs w:val="24"/>
        </w:rPr>
        <w:fldChar w:fldCharType="separate"/>
      </w:r>
      <w:r w:rsidR="00B3535E" w:rsidRPr="00B3535E">
        <w:rPr>
          <w:rFonts w:ascii="Times New Roman" w:hAnsi="Times New Roman"/>
          <w:sz w:val="24"/>
          <w:szCs w:val="24"/>
        </w:rPr>
        <w:t xml:space="preserve">Table </w:t>
      </w:r>
      <w:r w:rsidR="00B3535E" w:rsidRPr="00B3535E">
        <w:rPr>
          <w:rFonts w:ascii="Times New Roman" w:hAnsi="Times New Roman"/>
          <w:noProof/>
          <w:sz w:val="24"/>
          <w:szCs w:val="24"/>
        </w:rPr>
        <w:t>16</w:t>
      </w:r>
      <w:r w:rsidRPr="00957210">
        <w:rPr>
          <w:rFonts w:ascii="Times New Roman" w:hAnsi="Times New Roman"/>
          <w:sz w:val="24"/>
          <w:szCs w:val="24"/>
        </w:rPr>
        <w:fldChar w:fldCharType="end"/>
      </w:r>
      <w:r w:rsidR="00AE7D50" w:rsidRPr="00957210">
        <w:rPr>
          <w:rFonts w:ascii="Times New Roman" w:hAnsi="Times New Roman"/>
          <w:sz w:val="24"/>
          <w:szCs w:val="24"/>
        </w:rPr>
        <w:t xml:space="preserve"> summarizes enforcement actions and citations taken by the Commission since inception of the RA program in 2006.  </w:t>
      </w:r>
      <w:r w:rsidR="00EC7963" w:rsidRPr="00957210">
        <w:rPr>
          <w:rFonts w:ascii="Times New Roman" w:hAnsi="Times New Roman"/>
          <w:sz w:val="24"/>
          <w:szCs w:val="24"/>
        </w:rPr>
        <w:t xml:space="preserve">From 2006 through 2011 </w:t>
      </w:r>
      <w:r w:rsidR="00AE7D50" w:rsidRPr="00957210">
        <w:rPr>
          <w:rFonts w:ascii="Times New Roman" w:hAnsi="Times New Roman"/>
          <w:sz w:val="24"/>
          <w:szCs w:val="24"/>
        </w:rPr>
        <w:t>the Commission issued 22 citations for violations and</w:t>
      </w:r>
      <w:r w:rsidR="004C3C54" w:rsidRPr="00957210">
        <w:rPr>
          <w:rFonts w:ascii="Times New Roman" w:hAnsi="Times New Roman"/>
          <w:sz w:val="24"/>
          <w:szCs w:val="24"/>
        </w:rPr>
        <w:t xml:space="preserve"> </w:t>
      </w:r>
      <w:r w:rsidR="00BB2D00" w:rsidRPr="00957210">
        <w:rPr>
          <w:rFonts w:ascii="Times New Roman" w:hAnsi="Times New Roman"/>
          <w:sz w:val="24"/>
          <w:szCs w:val="24"/>
        </w:rPr>
        <w:t xml:space="preserve">initiated </w:t>
      </w:r>
      <w:r w:rsidR="004C3C54" w:rsidRPr="00957210">
        <w:rPr>
          <w:rFonts w:ascii="Times New Roman" w:hAnsi="Times New Roman"/>
          <w:sz w:val="24"/>
          <w:szCs w:val="24"/>
        </w:rPr>
        <w:t>four enforcement cases,</w:t>
      </w:r>
      <w:r w:rsidR="00AE7D50" w:rsidRPr="00957210">
        <w:rPr>
          <w:rFonts w:ascii="Times New Roman" w:hAnsi="Times New Roman"/>
          <w:sz w:val="24"/>
          <w:szCs w:val="24"/>
        </w:rPr>
        <w:t xml:space="preserve"> collect</w:t>
      </w:r>
      <w:r w:rsidR="004C3C54" w:rsidRPr="00957210">
        <w:rPr>
          <w:rFonts w:ascii="Times New Roman" w:hAnsi="Times New Roman"/>
          <w:sz w:val="24"/>
          <w:szCs w:val="24"/>
        </w:rPr>
        <w:t>ing</w:t>
      </w:r>
      <w:r w:rsidR="00AE7D50" w:rsidRPr="00957210">
        <w:rPr>
          <w:rFonts w:ascii="Times New Roman" w:hAnsi="Times New Roman"/>
          <w:sz w:val="24"/>
          <w:szCs w:val="24"/>
        </w:rPr>
        <w:t xml:space="preserve"> $82,500 </w:t>
      </w:r>
      <w:r w:rsidR="004C3C54" w:rsidRPr="00957210">
        <w:rPr>
          <w:rFonts w:ascii="Times New Roman" w:hAnsi="Times New Roman"/>
          <w:sz w:val="24"/>
          <w:szCs w:val="24"/>
        </w:rPr>
        <w:t>and $847,500</w:t>
      </w:r>
      <w:r w:rsidR="00BB2D00" w:rsidRPr="00957210">
        <w:rPr>
          <w:rFonts w:ascii="Times New Roman" w:hAnsi="Times New Roman"/>
          <w:sz w:val="24"/>
          <w:szCs w:val="24"/>
        </w:rPr>
        <w:t xml:space="preserve"> respectively</w:t>
      </w:r>
      <w:r w:rsidR="00AE7D50" w:rsidRPr="00957210">
        <w:rPr>
          <w:rFonts w:ascii="Times New Roman" w:hAnsi="Times New Roman"/>
          <w:sz w:val="24"/>
          <w:szCs w:val="24"/>
        </w:rPr>
        <w:t xml:space="preserve"> from LSEs</w:t>
      </w:r>
      <w:r w:rsidR="004C3C54" w:rsidRPr="00957210">
        <w:rPr>
          <w:rFonts w:ascii="Times New Roman" w:hAnsi="Times New Roman"/>
          <w:sz w:val="24"/>
          <w:szCs w:val="24"/>
        </w:rPr>
        <w:t>.</w:t>
      </w:r>
      <w:r w:rsidR="00AE7D50" w:rsidRPr="00957210">
        <w:rPr>
          <w:rFonts w:ascii="Times New Roman" w:hAnsi="Times New Roman"/>
          <w:sz w:val="24"/>
          <w:szCs w:val="24"/>
        </w:rPr>
        <w:t xml:space="preserve"> </w:t>
      </w:r>
      <w:r w:rsidR="004C3C54" w:rsidRPr="00957210">
        <w:rPr>
          <w:rFonts w:ascii="Times New Roman" w:hAnsi="Times New Roman"/>
          <w:sz w:val="24"/>
          <w:szCs w:val="24"/>
        </w:rPr>
        <w:t xml:space="preserve"> In 2011 the Commission issued two citations and took o</w:t>
      </w:r>
      <w:r w:rsidR="00EC7963" w:rsidRPr="00957210">
        <w:rPr>
          <w:rFonts w:ascii="Times New Roman" w:hAnsi="Times New Roman"/>
          <w:sz w:val="24"/>
          <w:szCs w:val="24"/>
        </w:rPr>
        <w:t xml:space="preserve">ne enforcement action </w:t>
      </w:r>
      <w:r w:rsidR="004C3C54" w:rsidRPr="00957210">
        <w:rPr>
          <w:rFonts w:ascii="Times New Roman" w:hAnsi="Times New Roman"/>
          <w:sz w:val="24"/>
          <w:szCs w:val="24"/>
        </w:rPr>
        <w:t>eventually collecting $7, 000 and $215,000 respectively from LSEs</w:t>
      </w:r>
      <w:r w:rsidR="00854291" w:rsidRPr="00957210">
        <w:rPr>
          <w:rFonts w:ascii="Times New Roman" w:hAnsi="Times New Roman"/>
          <w:sz w:val="24"/>
          <w:szCs w:val="24"/>
        </w:rPr>
        <w:t xml:space="preserve">.  </w:t>
      </w:r>
    </w:p>
    <w:p w:rsidR="00AE7D50" w:rsidRPr="00957210" w:rsidRDefault="00AE7D50" w:rsidP="004D507D">
      <w:pPr>
        <w:pStyle w:val="Noraml"/>
        <w:spacing w:before="120" w:line="240" w:lineRule="auto"/>
        <w:rPr>
          <w:rFonts w:ascii="Times New Roman" w:hAnsi="Times New Roman"/>
        </w:rPr>
      </w:pPr>
      <w:r w:rsidRPr="00957210">
        <w:rPr>
          <w:rFonts w:ascii="Times New Roman" w:hAnsi="Times New Roman"/>
          <w:sz w:val="24"/>
          <w:szCs w:val="24"/>
        </w:rPr>
        <w:t>An enforcement action taken against Constellation New Energy in 2007 for failure to comply with the 2007 Year-Ahead Local RA obligation</w:t>
      </w:r>
      <w:r w:rsidR="00743AB6" w:rsidRPr="00957210">
        <w:rPr>
          <w:rFonts w:ascii="Times New Roman" w:hAnsi="Times New Roman"/>
          <w:sz w:val="24"/>
          <w:szCs w:val="24"/>
        </w:rPr>
        <w:t xml:space="preserve"> </w:t>
      </w:r>
      <w:r w:rsidR="00BB2D00" w:rsidRPr="00957210">
        <w:rPr>
          <w:rFonts w:ascii="Times New Roman" w:hAnsi="Times New Roman"/>
          <w:sz w:val="24"/>
          <w:szCs w:val="24"/>
        </w:rPr>
        <w:t xml:space="preserve">and </w:t>
      </w:r>
      <w:r w:rsidR="00EE4305" w:rsidRPr="00957210">
        <w:rPr>
          <w:rFonts w:ascii="Times New Roman" w:hAnsi="Times New Roman"/>
          <w:sz w:val="24"/>
          <w:szCs w:val="24"/>
        </w:rPr>
        <w:t xml:space="preserve">settled </w:t>
      </w:r>
      <w:r w:rsidRPr="00957210">
        <w:rPr>
          <w:rFonts w:ascii="Times New Roman" w:hAnsi="Times New Roman"/>
          <w:sz w:val="24"/>
          <w:szCs w:val="24"/>
        </w:rPr>
        <w:t>in Resolution L-350</w:t>
      </w:r>
      <w:r w:rsidR="00743AB6" w:rsidRPr="00957210">
        <w:rPr>
          <w:rFonts w:ascii="Times New Roman" w:hAnsi="Times New Roman"/>
          <w:sz w:val="24"/>
          <w:szCs w:val="24"/>
        </w:rPr>
        <w:t xml:space="preserve"> for $107,500</w:t>
      </w:r>
      <w:r w:rsidRPr="00957210">
        <w:rPr>
          <w:rFonts w:ascii="Times New Roman" w:hAnsi="Times New Roman"/>
          <w:sz w:val="24"/>
          <w:szCs w:val="24"/>
        </w:rPr>
        <w:t>.</w:t>
      </w:r>
      <w:r w:rsidRPr="00957210">
        <w:rPr>
          <w:rStyle w:val="FootnoteReference"/>
          <w:rFonts w:ascii="Times New Roman" w:hAnsi="Times New Roman"/>
          <w:sz w:val="24"/>
          <w:szCs w:val="24"/>
        </w:rPr>
        <w:footnoteReference w:id="33"/>
      </w:r>
      <w:r w:rsidRPr="00957210">
        <w:rPr>
          <w:rFonts w:ascii="Times New Roman" w:hAnsi="Times New Roman"/>
          <w:sz w:val="24"/>
          <w:szCs w:val="24"/>
        </w:rPr>
        <w:t xml:space="preserve">  </w:t>
      </w:r>
      <w:r w:rsidR="00854291" w:rsidRPr="00957210">
        <w:rPr>
          <w:rFonts w:ascii="Times New Roman" w:hAnsi="Times New Roman"/>
          <w:sz w:val="24"/>
          <w:szCs w:val="24"/>
        </w:rPr>
        <w:t xml:space="preserve">In 2008 the Commission took enforcement action </w:t>
      </w:r>
      <w:r w:rsidRPr="00957210">
        <w:rPr>
          <w:rFonts w:ascii="Times New Roman" w:hAnsi="Times New Roman"/>
          <w:sz w:val="24"/>
          <w:szCs w:val="24"/>
        </w:rPr>
        <w:t>against Calpine Power America-CA, LLC related to the 2008 System and Local RA Filings</w:t>
      </w:r>
      <w:r w:rsidR="00854291" w:rsidRPr="00957210">
        <w:rPr>
          <w:rFonts w:ascii="Times New Roman" w:hAnsi="Times New Roman"/>
          <w:sz w:val="24"/>
          <w:szCs w:val="24"/>
        </w:rPr>
        <w:t xml:space="preserve"> </w:t>
      </w:r>
      <w:r w:rsidR="00BB2D00" w:rsidRPr="00957210">
        <w:rPr>
          <w:rFonts w:ascii="Times New Roman" w:hAnsi="Times New Roman"/>
          <w:sz w:val="24"/>
          <w:szCs w:val="24"/>
        </w:rPr>
        <w:t xml:space="preserve">and </w:t>
      </w:r>
      <w:r w:rsidR="00854291" w:rsidRPr="00957210">
        <w:rPr>
          <w:rFonts w:ascii="Times New Roman" w:hAnsi="Times New Roman"/>
          <w:sz w:val="24"/>
          <w:szCs w:val="24"/>
        </w:rPr>
        <w:t>subsequently settled</w:t>
      </w:r>
      <w:r w:rsidR="00743AB6" w:rsidRPr="00957210">
        <w:rPr>
          <w:rFonts w:ascii="Times New Roman" w:hAnsi="Times New Roman"/>
          <w:sz w:val="24"/>
          <w:szCs w:val="24"/>
        </w:rPr>
        <w:t xml:space="preserve"> for $225,000</w:t>
      </w:r>
      <w:r w:rsidR="00854291" w:rsidRPr="00957210">
        <w:rPr>
          <w:rFonts w:ascii="Times New Roman" w:hAnsi="Times New Roman"/>
          <w:sz w:val="24"/>
          <w:szCs w:val="24"/>
        </w:rPr>
        <w:t xml:space="preserve"> in I.09-01-017</w:t>
      </w:r>
      <w:r w:rsidRPr="00957210">
        <w:rPr>
          <w:rFonts w:ascii="Times New Roman" w:hAnsi="Times New Roman"/>
          <w:sz w:val="24"/>
          <w:szCs w:val="24"/>
        </w:rPr>
        <w:t>.</w:t>
      </w:r>
      <w:r w:rsidRPr="00957210">
        <w:rPr>
          <w:rStyle w:val="FootnoteReference"/>
          <w:rFonts w:ascii="Times New Roman" w:hAnsi="Times New Roman"/>
          <w:sz w:val="24"/>
          <w:szCs w:val="24"/>
        </w:rPr>
        <w:footnoteReference w:id="34"/>
      </w:r>
      <w:r w:rsidRPr="00957210">
        <w:rPr>
          <w:rFonts w:ascii="Times New Roman" w:hAnsi="Times New Roman"/>
          <w:sz w:val="24"/>
          <w:szCs w:val="24"/>
        </w:rPr>
        <w:t xml:space="preserve">  </w:t>
      </w:r>
      <w:r w:rsidR="00854291" w:rsidRPr="00957210">
        <w:rPr>
          <w:rFonts w:ascii="Times New Roman" w:hAnsi="Times New Roman"/>
          <w:sz w:val="24"/>
          <w:szCs w:val="24"/>
        </w:rPr>
        <w:t xml:space="preserve">The 2009 </w:t>
      </w:r>
      <w:r w:rsidRPr="00957210">
        <w:rPr>
          <w:rFonts w:ascii="Times New Roman" w:hAnsi="Times New Roman"/>
          <w:sz w:val="24"/>
          <w:szCs w:val="24"/>
        </w:rPr>
        <w:t xml:space="preserve">Commission </w:t>
      </w:r>
      <w:r w:rsidR="00854291" w:rsidRPr="00957210">
        <w:rPr>
          <w:rFonts w:ascii="Times New Roman" w:hAnsi="Times New Roman"/>
          <w:sz w:val="24"/>
          <w:szCs w:val="24"/>
        </w:rPr>
        <w:t xml:space="preserve">enforcement action </w:t>
      </w:r>
      <w:r w:rsidRPr="00957210">
        <w:rPr>
          <w:rFonts w:ascii="Times New Roman" w:hAnsi="Times New Roman"/>
          <w:sz w:val="24"/>
          <w:szCs w:val="24"/>
        </w:rPr>
        <w:t>against C</w:t>
      </w:r>
      <w:r w:rsidR="00415330" w:rsidRPr="00957210">
        <w:rPr>
          <w:rFonts w:ascii="Times New Roman" w:hAnsi="Times New Roman"/>
          <w:sz w:val="24"/>
          <w:szCs w:val="24"/>
        </w:rPr>
        <w:t xml:space="preserve">onstellation New Energy </w:t>
      </w:r>
      <w:r w:rsidRPr="00957210">
        <w:rPr>
          <w:rFonts w:ascii="Times New Roman" w:hAnsi="Times New Roman"/>
          <w:sz w:val="24"/>
          <w:szCs w:val="24"/>
        </w:rPr>
        <w:t xml:space="preserve">for </w:t>
      </w:r>
      <w:r w:rsidR="00B414BC" w:rsidRPr="00957210">
        <w:rPr>
          <w:rFonts w:ascii="Times New Roman" w:hAnsi="Times New Roman"/>
          <w:sz w:val="24"/>
          <w:szCs w:val="24"/>
        </w:rPr>
        <w:t>under procurement</w:t>
      </w:r>
      <w:r w:rsidR="00415330" w:rsidRPr="00957210">
        <w:rPr>
          <w:rFonts w:ascii="Times New Roman" w:hAnsi="Times New Roman"/>
          <w:sz w:val="24"/>
          <w:szCs w:val="24"/>
        </w:rPr>
        <w:t xml:space="preserve"> related to 2009 compliance year filings</w:t>
      </w:r>
      <w:r w:rsidR="00BB2D00" w:rsidRPr="00957210">
        <w:rPr>
          <w:rFonts w:ascii="Times New Roman" w:hAnsi="Times New Roman"/>
          <w:sz w:val="24"/>
          <w:szCs w:val="24"/>
        </w:rPr>
        <w:t xml:space="preserve"> and</w:t>
      </w:r>
      <w:r w:rsidR="00854291" w:rsidRPr="00957210">
        <w:rPr>
          <w:rFonts w:ascii="Times New Roman" w:hAnsi="Times New Roman"/>
          <w:sz w:val="24"/>
          <w:szCs w:val="24"/>
        </w:rPr>
        <w:t xml:space="preserve"> reached a settlement</w:t>
      </w:r>
      <w:r w:rsidR="00743AB6" w:rsidRPr="00957210">
        <w:rPr>
          <w:rFonts w:ascii="Times New Roman" w:hAnsi="Times New Roman"/>
          <w:sz w:val="24"/>
          <w:szCs w:val="24"/>
        </w:rPr>
        <w:t xml:space="preserve"> of $300,000</w:t>
      </w:r>
      <w:r w:rsidR="00854291" w:rsidRPr="00957210">
        <w:rPr>
          <w:rFonts w:ascii="Times New Roman" w:hAnsi="Times New Roman"/>
          <w:sz w:val="24"/>
          <w:szCs w:val="24"/>
        </w:rPr>
        <w:t xml:space="preserve"> in I.10-04-010</w:t>
      </w:r>
      <w:r w:rsidRPr="00957210">
        <w:rPr>
          <w:rFonts w:ascii="Times New Roman" w:hAnsi="Times New Roman"/>
          <w:sz w:val="24"/>
          <w:szCs w:val="24"/>
        </w:rPr>
        <w:t xml:space="preserve"> on March 10, 2011.</w:t>
      </w:r>
      <w:r w:rsidRPr="00957210">
        <w:rPr>
          <w:rStyle w:val="FootnoteReference"/>
          <w:rFonts w:ascii="Times New Roman" w:hAnsi="Times New Roman"/>
          <w:sz w:val="24"/>
          <w:szCs w:val="24"/>
        </w:rPr>
        <w:footnoteReference w:id="35"/>
      </w:r>
      <w:r w:rsidRPr="00957210">
        <w:rPr>
          <w:rFonts w:ascii="Times New Roman" w:hAnsi="Times New Roman"/>
        </w:rPr>
        <w:t xml:space="preserve">  </w:t>
      </w:r>
      <w:r w:rsidR="00854291" w:rsidRPr="00957210">
        <w:rPr>
          <w:rFonts w:ascii="Times New Roman" w:hAnsi="Times New Roman"/>
          <w:sz w:val="24"/>
          <w:szCs w:val="24"/>
        </w:rPr>
        <w:t>The 2011 Commission enforcement case against PG&amp;E for failure to comply with the Month-ahead RA obligations</w:t>
      </w:r>
      <w:r w:rsidR="00743AB6" w:rsidRPr="00957210">
        <w:rPr>
          <w:rFonts w:ascii="Times New Roman" w:hAnsi="Times New Roman"/>
          <w:sz w:val="24"/>
          <w:szCs w:val="24"/>
        </w:rPr>
        <w:t xml:space="preserve"> </w:t>
      </w:r>
      <w:r w:rsidR="00BB2D00" w:rsidRPr="00957210">
        <w:rPr>
          <w:rFonts w:ascii="Times New Roman" w:hAnsi="Times New Roman"/>
          <w:sz w:val="24"/>
          <w:szCs w:val="24"/>
        </w:rPr>
        <w:t xml:space="preserve">and </w:t>
      </w:r>
      <w:r w:rsidR="00743AB6" w:rsidRPr="00957210">
        <w:rPr>
          <w:rFonts w:ascii="Times New Roman" w:hAnsi="Times New Roman"/>
          <w:sz w:val="24"/>
          <w:szCs w:val="24"/>
        </w:rPr>
        <w:t xml:space="preserve">reached </w:t>
      </w:r>
      <w:r w:rsidR="00854291" w:rsidRPr="00957210">
        <w:rPr>
          <w:rFonts w:ascii="Times New Roman" w:hAnsi="Times New Roman"/>
          <w:sz w:val="24"/>
          <w:szCs w:val="24"/>
        </w:rPr>
        <w:t xml:space="preserve">settlement of $215,000 in Decision 12-02-030 under OII 11-06-011.  </w:t>
      </w:r>
    </w:p>
    <w:p w:rsidR="00AE7D50" w:rsidRPr="00AD151D" w:rsidRDefault="00AE7D50" w:rsidP="004D507D">
      <w:pPr>
        <w:pStyle w:val="Caption"/>
        <w:widowControl w:val="0"/>
        <w:spacing w:before="120"/>
        <w:rPr>
          <w:sz w:val="22"/>
        </w:rPr>
      </w:pPr>
      <w:bookmarkStart w:id="132" w:name="_Ref224719704"/>
      <w:bookmarkStart w:id="133" w:name="_Toc347827086"/>
      <w:r w:rsidRPr="00AD151D">
        <w:rPr>
          <w:sz w:val="22"/>
        </w:rPr>
        <w:t xml:space="preserve">Table </w:t>
      </w:r>
      <w:r w:rsidRPr="00AD151D">
        <w:rPr>
          <w:sz w:val="22"/>
        </w:rPr>
        <w:fldChar w:fldCharType="begin"/>
      </w:r>
      <w:r w:rsidRPr="00AD151D">
        <w:rPr>
          <w:sz w:val="22"/>
        </w:rPr>
        <w:instrText xml:space="preserve"> SEQ Table \* ARABIC </w:instrText>
      </w:r>
      <w:r w:rsidRPr="00AD151D">
        <w:rPr>
          <w:sz w:val="22"/>
        </w:rPr>
        <w:fldChar w:fldCharType="separate"/>
      </w:r>
      <w:r w:rsidR="00B3535E">
        <w:rPr>
          <w:noProof/>
          <w:sz w:val="22"/>
        </w:rPr>
        <w:t>16</w:t>
      </w:r>
      <w:r w:rsidRPr="00AD151D">
        <w:rPr>
          <w:sz w:val="22"/>
        </w:rPr>
        <w:fldChar w:fldCharType="end"/>
      </w:r>
      <w:bookmarkEnd w:id="132"/>
      <w:r w:rsidRPr="00AD151D">
        <w:rPr>
          <w:sz w:val="22"/>
        </w:rPr>
        <w:t>. Enforcement Summary Pursuant to the RA program since 2006</w:t>
      </w:r>
      <w:bookmarkEnd w:id="133"/>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138"/>
        <w:gridCol w:w="990"/>
        <w:gridCol w:w="1080"/>
        <w:gridCol w:w="1620"/>
        <w:gridCol w:w="990"/>
        <w:gridCol w:w="1170"/>
        <w:gridCol w:w="810"/>
        <w:gridCol w:w="810"/>
      </w:tblGrid>
      <w:tr w:rsidR="004D507D" w:rsidRPr="00AD151D" w:rsidTr="00E34EEA">
        <w:trPr>
          <w:trHeight w:val="470"/>
        </w:trPr>
        <w:tc>
          <w:tcPr>
            <w:tcW w:w="1138" w:type="dxa"/>
            <w:vAlign w:val="bottom"/>
          </w:tcPr>
          <w:p w:rsidR="00AE7D50" w:rsidRPr="00AD151D" w:rsidRDefault="00AE7D50" w:rsidP="004D507D">
            <w:pPr>
              <w:widowControl w:val="0"/>
              <w:jc w:val="center"/>
              <w:rPr>
                <w:b/>
                <w:bCs/>
                <w:sz w:val="18"/>
                <w:szCs w:val="18"/>
              </w:rPr>
            </w:pPr>
            <w:r w:rsidRPr="00AD151D">
              <w:rPr>
                <w:b/>
                <w:bCs/>
                <w:sz w:val="18"/>
                <w:szCs w:val="18"/>
              </w:rPr>
              <w:t>Compliance Year</w:t>
            </w:r>
          </w:p>
        </w:tc>
        <w:tc>
          <w:tcPr>
            <w:tcW w:w="990" w:type="dxa"/>
            <w:vAlign w:val="bottom"/>
          </w:tcPr>
          <w:p w:rsidR="00AE7D50" w:rsidRPr="00AD151D" w:rsidRDefault="00AE7D50" w:rsidP="004D507D">
            <w:pPr>
              <w:widowControl w:val="0"/>
              <w:jc w:val="center"/>
              <w:rPr>
                <w:b/>
                <w:bCs/>
                <w:sz w:val="18"/>
                <w:szCs w:val="18"/>
              </w:rPr>
            </w:pPr>
            <w:r w:rsidRPr="00AD151D">
              <w:rPr>
                <w:b/>
                <w:bCs/>
                <w:sz w:val="18"/>
                <w:szCs w:val="18"/>
              </w:rPr>
              <w:t>2006</w:t>
            </w:r>
          </w:p>
        </w:tc>
        <w:tc>
          <w:tcPr>
            <w:tcW w:w="1080" w:type="dxa"/>
            <w:vAlign w:val="bottom"/>
          </w:tcPr>
          <w:p w:rsidR="00AE7D50" w:rsidRPr="00AD151D" w:rsidRDefault="00AE7D50" w:rsidP="004D507D">
            <w:pPr>
              <w:widowControl w:val="0"/>
              <w:jc w:val="center"/>
              <w:rPr>
                <w:b/>
                <w:bCs/>
                <w:sz w:val="18"/>
                <w:szCs w:val="18"/>
              </w:rPr>
            </w:pPr>
            <w:r w:rsidRPr="00AD151D">
              <w:rPr>
                <w:b/>
                <w:bCs/>
                <w:sz w:val="18"/>
                <w:szCs w:val="18"/>
              </w:rPr>
              <w:t>2007</w:t>
            </w:r>
          </w:p>
        </w:tc>
        <w:tc>
          <w:tcPr>
            <w:tcW w:w="1620" w:type="dxa"/>
            <w:vAlign w:val="bottom"/>
          </w:tcPr>
          <w:p w:rsidR="00AE7D50" w:rsidRPr="00AD151D" w:rsidRDefault="00AE7D50" w:rsidP="004D507D">
            <w:pPr>
              <w:widowControl w:val="0"/>
              <w:jc w:val="center"/>
              <w:rPr>
                <w:b/>
                <w:bCs/>
                <w:sz w:val="18"/>
                <w:szCs w:val="18"/>
              </w:rPr>
            </w:pPr>
            <w:r w:rsidRPr="00AD151D">
              <w:rPr>
                <w:b/>
                <w:bCs/>
                <w:sz w:val="18"/>
                <w:szCs w:val="18"/>
              </w:rPr>
              <w:t>2008</w:t>
            </w:r>
          </w:p>
        </w:tc>
        <w:tc>
          <w:tcPr>
            <w:tcW w:w="990" w:type="dxa"/>
            <w:vAlign w:val="bottom"/>
          </w:tcPr>
          <w:p w:rsidR="00AE7D50" w:rsidRPr="00AD151D" w:rsidRDefault="00AE7D50" w:rsidP="004D507D">
            <w:pPr>
              <w:widowControl w:val="0"/>
              <w:jc w:val="center"/>
              <w:rPr>
                <w:b/>
                <w:bCs/>
                <w:sz w:val="18"/>
                <w:szCs w:val="18"/>
              </w:rPr>
            </w:pPr>
            <w:r w:rsidRPr="00AD151D">
              <w:rPr>
                <w:b/>
                <w:bCs/>
                <w:sz w:val="18"/>
                <w:szCs w:val="18"/>
              </w:rPr>
              <w:t>2009</w:t>
            </w:r>
          </w:p>
        </w:tc>
        <w:tc>
          <w:tcPr>
            <w:tcW w:w="1170" w:type="dxa"/>
            <w:vAlign w:val="bottom"/>
          </w:tcPr>
          <w:p w:rsidR="00AE7D50" w:rsidRPr="00AD151D" w:rsidRDefault="00AE7D50" w:rsidP="004D507D">
            <w:pPr>
              <w:widowControl w:val="0"/>
              <w:jc w:val="center"/>
              <w:rPr>
                <w:b/>
                <w:bCs/>
                <w:sz w:val="18"/>
                <w:szCs w:val="18"/>
              </w:rPr>
            </w:pPr>
            <w:r w:rsidRPr="00AD151D">
              <w:rPr>
                <w:b/>
                <w:bCs/>
                <w:sz w:val="18"/>
                <w:szCs w:val="18"/>
              </w:rPr>
              <w:t>2010</w:t>
            </w:r>
          </w:p>
        </w:tc>
        <w:tc>
          <w:tcPr>
            <w:tcW w:w="810" w:type="dxa"/>
            <w:vAlign w:val="bottom"/>
          </w:tcPr>
          <w:p w:rsidR="00AE7D50" w:rsidRPr="00AD151D" w:rsidRDefault="00AE7D50" w:rsidP="004D507D">
            <w:pPr>
              <w:widowControl w:val="0"/>
              <w:jc w:val="center"/>
              <w:rPr>
                <w:b/>
                <w:sz w:val="18"/>
                <w:szCs w:val="18"/>
              </w:rPr>
            </w:pPr>
            <w:r w:rsidRPr="00AD151D">
              <w:rPr>
                <w:b/>
                <w:sz w:val="18"/>
                <w:szCs w:val="18"/>
              </w:rPr>
              <w:t>2011</w:t>
            </w:r>
          </w:p>
        </w:tc>
        <w:tc>
          <w:tcPr>
            <w:tcW w:w="810" w:type="dxa"/>
            <w:vAlign w:val="bottom"/>
          </w:tcPr>
          <w:p w:rsidR="00AE7D50" w:rsidRPr="00AD151D" w:rsidRDefault="00AE7D50" w:rsidP="004D507D">
            <w:pPr>
              <w:widowControl w:val="0"/>
              <w:jc w:val="center"/>
              <w:rPr>
                <w:b/>
                <w:bCs/>
                <w:sz w:val="18"/>
                <w:szCs w:val="18"/>
              </w:rPr>
            </w:pPr>
            <w:r w:rsidRPr="00AD151D">
              <w:rPr>
                <w:b/>
                <w:bCs/>
                <w:sz w:val="18"/>
                <w:szCs w:val="18"/>
              </w:rPr>
              <w:t>Total</w:t>
            </w:r>
          </w:p>
        </w:tc>
      </w:tr>
      <w:tr w:rsidR="004D507D" w:rsidRPr="00AD151D" w:rsidTr="00E34EEA">
        <w:trPr>
          <w:trHeight w:val="242"/>
        </w:trPr>
        <w:tc>
          <w:tcPr>
            <w:tcW w:w="1138" w:type="dxa"/>
            <w:vAlign w:val="bottom"/>
          </w:tcPr>
          <w:p w:rsidR="00AE7D50" w:rsidRPr="004D507D" w:rsidRDefault="00AE7D50" w:rsidP="004D507D">
            <w:pPr>
              <w:widowControl w:val="0"/>
              <w:jc w:val="center"/>
              <w:rPr>
                <w:b/>
                <w:bCs/>
                <w:sz w:val="18"/>
                <w:szCs w:val="18"/>
              </w:rPr>
            </w:pPr>
            <w:r w:rsidRPr="004D507D">
              <w:rPr>
                <w:b/>
                <w:bCs/>
                <w:sz w:val="18"/>
                <w:szCs w:val="18"/>
              </w:rPr>
              <w:t>Citations</w:t>
            </w:r>
          </w:p>
        </w:tc>
        <w:tc>
          <w:tcPr>
            <w:tcW w:w="990" w:type="dxa"/>
            <w:vAlign w:val="bottom"/>
          </w:tcPr>
          <w:p w:rsidR="00AE7D50" w:rsidRPr="004D507D" w:rsidRDefault="00AE7D50" w:rsidP="004D507D">
            <w:pPr>
              <w:widowControl w:val="0"/>
              <w:jc w:val="center"/>
              <w:rPr>
                <w:b/>
                <w:sz w:val="18"/>
                <w:szCs w:val="18"/>
              </w:rPr>
            </w:pPr>
            <w:r w:rsidRPr="004D507D">
              <w:rPr>
                <w:b/>
                <w:sz w:val="18"/>
                <w:szCs w:val="18"/>
              </w:rPr>
              <w:t>1</w:t>
            </w:r>
          </w:p>
        </w:tc>
        <w:tc>
          <w:tcPr>
            <w:tcW w:w="1080" w:type="dxa"/>
            <w:vAlign w:val="bottom"/>
          </w:tcPr>
          <w:p w:rsidR="00AE7D50" w:rsidRPr="004D507D" w:rsidRDefault="00AE7D50" w:rsidP="004D507D">
            <w:pPr>
              <w:widowControl w:val="0"/>
              <w:jc w:val="center"/>
              <w:rPr>
                <w:b/>
                <w:sz w:val="18"/>
                <w:szCs w:val="18"/>
              </w:rPr>
            </w:pPr>
            <w:r w:rsidRPr="004D507D">
              <w:rPr>
                <w:b/>
                <w:sz w:val="18"/>
                <w:szCs w:val="18"/>
              </w:rPr>
              <w:t>3</w:t>
            </w:r>
          </w:p>
        </w:tc>
        <w:tc>
          <w:tcPr>
            <w:tcW w:w="1620" w:type="dxa"/>
            <w:vAlign w:val="bottom"/>
          </w:tcPr>
          <w:p w:rsidR="00AE7D50" w:rsidRPr="004D507D" w:rsidRDefault="00AE7D50" w:rsidP="004D507D">
            <w:pPr>
              <w:widowControl w:val="0"/>
              <w:jc w:val="center"/>
              <w:rPr>
                <w:b/>
                <w:sz w:val="18"/>
                <w:szCs w:val="18"/>
              </w:rPr>
            </w:pPr>
            <w:r w:rsidRPr="004D507D">
              <w:rPr>
                <w:b/>
                <w:sz w:val="18"/>
                <w:szCs w:val="18"/>
              </w:rPr>
              <w:t>7</w:t>
            </w:r>
          </w:p>
        </w:tc>
        <w:tc>
          <w:tcPr>
            <w:tcW w:w="990" w:type="dxa"/>
            <w:vAlign w:val="bottom"/>
          </w:tcPr>
          <w:p w:rsidR="00AE7D50" w:rsidRPr="004D507D" w:rsidRDefault="00AE7D50" w:rsidP="004D507D">
            <w:pPr>
              <w:widowControl w:val="0"/>
              <w:jc w:val="center"/>
              <w:rPr>
                <w:b/>
                <w:sz w:val="18"/>
                <w:szCs w:val="18"/>
              </w:rPr>
            </w:pPr>
            <w:r w:rsidRPr="004D507D">
              <w:rPr>
                <w:b/>
                <w:sz w:val="18"/>
                <w:szCs w:val="18"/>
              </w:rPr>
              <w:t>4</w:t>
            </w:r>
          </w:p>
        </w:tc>
        <w:tc>
          <w:tcPr>
            <w:tcW w:w="1170" w:type="dxa"/>
            <w:vAlign w:val="bottom"/>
          </w:tcPr>
          <w:p w:rsidR="00AE7D50" w:rsidRPr="004D507D" w:rsidRDefault="00AE7D50" w:rsidP="004D507D">
            <w:pPr>
              <w:widowControl w:val="0"/>
              <w:jc w:val="center"/>
              <w:rPr>
                <w:b/>
                <w:sz w:val="18"/>
                <w:szCs w:val="18"/>
              </w:rPr>
            </w:pPr>
            <w:r w:rsidRPr="004D507D">
              <w:rPr>
                <w:b/>
                <w:sz w:val="18"/>
                <w:szCs w:val="18"/>
              </w:rPr>
              <w:t>5</w:t>
            </w:r>
          </w:p>
        </w:tc>
        <w:tc>
          <w:tcPr>
            <w:tcW w:w="810" w:type="dxa"/>
            <w:vAlign w:val="bottom"/>
          </w:tcPr>
          <w:p w:rsidR="00AE7D50" w:rsidRPr="004D507D" w:rsidRDefault="00AE7D50" w:rsidP="004D507D">
            <w:pPr>
              <w:widowControl w:val="0"/>
              <w:jc w:val="center"/>
              <w:rPr>
                <w:b/>
                <w:sz w:val="18"/>
                <w:szCs w:val="18"/>
              </w:rPr>
            </w:pPr>
            <w:r w:rsidRPr="004D507D">
              <w:rPr>
                <w:b/>
                <w:sz w:val="18"/>
                <w:szCs w:val="18"/>
              </w:rPr>
              <w:t>2</w:t>
            </w:r>
          </w:p>
        </w:tc>
        <w:tc>
          <w:tcPr>
            <w:tcW w:w="810" w:type="dxa"/>
            <w:vAlign w:val="bottom"/>
          </w:tcPr>
          <w:p w:rsidR="00AE7D50" w:rsidRPr="004D507D" w:rsidRDefault="00AE7D50" w:rsidP="004D507D">
            <w:pPr>
              <w:widowControl w:val="0"/>
              <w:jc w:val="center"/>
              <w:rPr>
                <w:b/>
                <w:sz w:val="18"/>
                <w:szCs w:val="18"/>
              </w:rPr>
            </w:pPr>
            <w:r w:rsidRPr="004D507D">
              <w:rPr>
                <w:b/>
                <w:sz w:val="18"/>
                <w:szCs w:val="18"/>
              </w:rPr>
              <w:t>22</w:t>
            </w:r>
          </w:p>
        </w:tc>
      </w:tr>
      <w:tr w:rsidR="004D507D" w:rsidRPr="00AD151D" w:rsidTr="00E34EEA">
        <w:trPr>
          <w:trHeight w:val="1088"/>
        </w:trPr>
        <w:tc>
          <w:tcPr>
            <w:tcW w:w="1138" w:type="dxa"/>
            <w:vAlign w:val="bottom"/>
          </w:tcPr>
          <w:p w:rsidR="00AE7D50" w:rsidRPr="00AD151D" w:rsidRDefault="00AE7D50" w:rsidP="004D507D">
            <w:pPr>
              <w:widowControl w:val="0"/>
              <w:jc w:val="center"/>
              <w:rPr>
                <w:b/>
                <w:bCs/>
                <w:sz w:val="18"/>
                <w:szCs w:val="18"/>
              </w:rPr>
            </w:pPr>
            <w:r w:rsidRPr="00AD151D">
              <w:rPr>
                <w:b/>
                <w:bCs/>
                <w:sz w:val="18"/>
                <w:szCs w:val="18"/>
              </w:rPr>
              <w:t>LSEs cited</w:t>
            </w:r>
          </w:p>
        </w:tc>
        <w:tc>
          <w:tcPr>
            <w:tcW w:w="990" w:type="dxa"/>
            <w:vAlign w:val="bottom"/>
          </w:tcPr>
          <w:p w:rsidR="00AE7D50" w:rsidRPr="00AD151D" w:rsidRDefault="00AE7D50" w:rsidP="004D507D">
            <w:pPr>
              <w:widowControl w:val="0"/>
              <w:jc w:val="center"/>
              <w:rPr>
                <w:sz w:val="18"/>
                <w:szCs w:val="18"/>
              </w:rPr>
            </w:pPr>
            <w:r w:rsidRPr="00AD151D">
              <w:rPr>
                <w:sz w:val="18"/>
                <w:szCs w:val="18"/>
              </w:rPr>
              <w:t>Commerce Energy</w:t>
            </w:r>
          </w:p>
        </w:tc>
        <w:tc>
          <w:tcPr>
            <w:tcW w:w="1080" w:type="dxa"/>
            <w:vAlign w:val="bottom"/>
          </w:tcPr>
          <w:p w:rsidR="00AE7D50" w:rsidRPr="00AD151D" w:rsidRDefault="00586B1F" w:rsidP="004D507D">
            <w:pPr>
              <w:widowControl w:val="0"/>
              <w:jc w:val="center"/>
              <w:rPr>
                <w:sz w:val="18"/>
                <w:szCs w:val="18"/>
              </w:rPr>
            </w:pPr>
            <w:r>
              <w:rPr>
                <w:sz w:val="18"/>
                <w:szCs w:val="18"/>
              </w:rPr>
              <w:t>3Phases</w:t>
            </w:r>
            <w:r w:rsidR="00AE7D50" w:rsidRPr="00AD151D">
              <w:rPr>
                <w:sz w:val="18"/>
                <w:szCs w:val="18"/>
              </w:rPr>
              <w:t>; Commerce Energy; Amer</w:t>
            </w:r>
            <w:r w:rsidR="004D507D">
              <w:rPr>
                <w:sz w:val="18"/>
                <w:szCs w:val="18"/>
              </w:rPr>
              <w:t>.</w:t>
            </w:r>
            <w:r w:rsidR="00AE7D50" w:rsidRPr="00AD151D">
              <w:rPr>
                <w:sz w:val="18"/>
                <w:szCs w:val="18"/>
              </w:rPr>
              <w:t xml:space="preserve"> Util</w:t>
            </w:r>
            <w:r w:rsidR="004D507D">
              <w:rPr>
                <w:sz w:val="18"/>
                <w:szCs w:val="18"/>
              </w:rPr>
              <w:t>.</w:t>
            </w:r>
            <w:r w:rsidR="00AE7D50" w:rsidRPr="00AD151D">
              <w:rPr>
                <w:sz w:val="18"/>
                <w:szCs w:val="18"/>
              </w:rPr>
              <w:t xml:space="preserve"> Network</w:t>
            </w:r>
          </w:p>
        </w:tc>
        <w:tc>
          <w:tcPr>
            <w:tcW w:w="1620" w:type="dxa"/>
            <w:vAlign w:val="bottom"/>
          </w:tcPr>
          <w:p w:rsidR="00AE7D50" w:rsidRPr="00AD151D" w:rsidRDefault="00586B1F" w:rsidP="004D507D">
            <w:pPr>
              <w:widowControl w:val="0"/>
              <w:jc w:val="center"/>
              <w:rPr>
                <w:sz w:val="18"/>
                <w:szCs w:val="18"/>
              </w:rPr>
            </w:pPr>
            <w:r>
              <w:rPr>
                <w:sz w:val="18"/>
                <w:szCs w:val="18"/>
              </w:rPr>
              <w:t>3Phases</w:t>
            </w:r>
            <w:r w:rsidR="00AE7D50" w:rsidRPr="00AD151D">
              <w:rPr>
                <w:sz w:val="18"/>
                <w:szCs w:val="18"/>
              </w:rPr>
              <w:t xml:space="preserve"> (2);Commerce Energy (2); Corona DWP; Sempra Energy; Shell Energy</w:t>
            </w:r>
          </w:p>
        </w:tc>
        <w:tc>
          <w:tcPr>
            <w:tcW w:w="990" w:type="dxa"/>
            <w:vAlign w:val="bottom"/>
          </w:tcPr>
          <w:p w:rsidR="00AE7D50" w:rsidRPr="00AD151D" w:rsidRDefault="00AE7D50" w:rsidP="004D507D">
            <w:pPr>
              <w:widowControl w:val="0"/>
              <w:jc w:val="center"/>
              <w:rPr>
                <w:sz w:val="18"/>
                <w:szCs w:val="18"/>
              </w:rPr>
            </w:pPr>
            <w:r w:rsidRPr="00AD151D">
              <w:rPr>
                <w:sz w:val="18"/>
                <w:szCs w:val="18"/>
              </w:rPr>
              <w:t>Commerce Energy (3); CNE</w:t>
            </w:r>
          </w:p>
        </w:tc>
        <w:tc>
          <w:tcPr>
            <w:tcW w:w="1170" w:type="dxa"/>
            <w:vAlign w:val="bottom"/>
          </w:tcPr>
          <w:p w:rsidR="00AE7D50" w:rsidRPr="00AD151D" w:rsidRDefault="00AE7D50" w:rsidP="004D507D">
            <w:pPr>
              <w:widowControl w:val="0"/>
              <w:jc w:val="center"/>
              <w:rPr>
                <w:sz w:val="18"/>
                <w:szCs w:val="18"/>
              </w:rPr>
            </w:pPr>
            <w:r w:rsidRPr="00AD151D">
              <w:rPr>
                <w:sz w:val="18"/>
                <w:szCs w:val="18"/>
              </w:rPr>
              <w:t>Commerce Energy; Pilot Power (2), Dir</w:t>
            </w:r>
            <w:r w:rsidR="004D507D">
              <w:rPr>
                <w:sz w:val="18"/>
                <w:szCs w:val="18"/>
              </w:rPr>
              <w:t>.</w:t>
            </w:r>
            <w:r w:rsidRPr="00AD151D">
              <w:rPr>
                <w:sz w:val="18"/>
                <w:szCs w:val="18"/>
              </w:rPr>
              <w:t xml:space="preserve"> Energy Bus</w:t>
            </w:r>
            <w:r w:rsidR="004D507D">
              <w:rPr>
                <w:sz w:val="18"/>
                <w:szCs w:val="18"/>
              </w:rPr>
              <w:t>.</w:t>
            </w:r>
            <w:r w:rsidRPr="00AD151D">
              <w:rPr>
                <w:sz w:val="18"/>
                <w:szCs w:val="18"/>
              </w:rPr>
              <w:t>, SDG&amp;E</w:t>
            </w:r>
          </w:p>
        </w:tc>
        <w:tc>
          <w:tcPr>
            <w:tcW w:w="810" w:type="dxa"/>
            <w:vAlign w:val="bottom"/>
          </w:tcPr>
          <w:p w:rsidR="00AE7D50" w:rsidRPr="00AD151D" w:rsidRDefault="00AE7D50" w:rsidP="004D507D">
            <w:pPr>
              <w:widowControl w:val="0"/>
              <w:jc w:val="center"/>
              <w:rPr>
                <w:sz w:val="18"/>
                <w:szCs w:val="18"/>
              </w:rPr>
            </w:pPr>
            <w:r w:rsidRPr="00AD151D">
              <w:rPr>
                <w:sz w:val="18"/>
                <w:szCs w:val="18"/>
              </w:rPr>
              <w:t>Liberty Power; Tiger Nat Gas</w:t>
            </w:r>
          </w:p>
        </w:tc>
        <w:tc>
          <w:tcPr>
            <w:tcW w:w="810" w:type="dxa"/>
            <w:vAlign w:val="bottom"/>
          </w:tcPr>
          <w:p w:rsidR="00AE7D50" w:rsidRPr="00AD151D" w:rsidRDefault="00AE7D50" w:rsidP="004D507D">
            <w:pPr>
              <w:widowControl w:val="0"/>
              <w:jc w:val="center"/>
              <w:rPr>
                <w:sz w:val="18"/>
                <w:szCs w:val="18"/>
              </w:rPr>
            </w:pPr>
          </w:p>
        </w:tc>
      </w:tr>
      <w:tr w:rsidR="004D507D" w:rsidRPr="00AD151D" w:rsidTr="00E34EEA">
        <w:trPr>
          <w:trHeight w:val="602"/>
        </w:trPr>
        <w:tc>
          <w:tcPr>
            <w:tcW w:w="1138" w:type="dxa"/>
            <w:vAlign w:val="bottom"/>
          </w:tcPr>
          <w:p w:rsidR="00AE7D50" w:rsidRPr="00AD151D" w:rsidRDefault="00AE7D50" w:rsidP="004D507D">
            <w:pPr>
              <w:widowControl w:val="0"/>
              <w:jc w:val="center"/>
              <w:rPr>
                <w:b/>
                <w:bCs/>
                <w:sz w:val="18"/>
                <w:szCs w:val="18"/>
              </w:rPr>
            </w:pPr>
            <w:r w:rsidRPr="00AD151D">
              <w:rPr>
                <w:b/>
                <w:bCs/>
                <w:sz w:val="18"/>
                <w:szCs w:val="18"/>
              </w:rPr>
              <w:t>Penalties paid on citations</w:t>
            </w:r>
          </w:p>
        </w:tc>
        <w:tc>
          <w:tcPr>
            <w:tcW w:w="990" w:type="dxa"/>
            <w:vAlign w:val="bottom"/>
          </w:tcPr>
          <w:p w:rsidR="00AE7D50" w:rsidRPr="00AD151D" w:rsidRDefault="00AE7D50" w:rsidP="004D507D">
            <w:pPr>
              <w:widowControl w:val="0"/>
              <w:jc w:val="center"/>
              <w:rPr>
                <w:sz w:val="18"/>
                <w:szCs w:val="18"/>
              </w:rPr>
            </w:pPr>
            <w:r w:rsidRPr="00AD151D">
              <w:rPr>
                <w:sz w:val="18"/>
                <w:szCs w:val="18"/>
              </w:rPr>
              <w:t>$1,500</w:t>
            </w:r>
          </w:p>
        </w:tc>
        <w:tc>
          <w:tcPr>
            <w:tcW w:w="1080" w:type="dxa"/>
            <w:vAlign w:val="bottom"/>
          </w:tcPr>
          <w:p w:rsidR="00AE7D50" w:rsidRPr="00AD151D" w:rsidRDefault="00AE7D50" w:rsidP="004D507D">
            <w:pPr>
              <w:widowControl w:val="0"/>
              <w:jc w:val="center"/>
              <w:rPr>
                <w:sz w:val="18"/>
                <w:szCs w:val="18"/>
              </w:rPr>
            </w:pPr>
            <w:r w:rsidRPr="00AD151D">
              <w:rPr>
                <w:sz w:val="18"/>
                <w:szCs w:val="18"/>
              </w:rPr>
              <w:t>$5,000</w:t>
            </w:r>
          </w:p>
        </w:tc>
        <w:tc>
          <w:tcPr>
            <w:tcW w:w="1620" w:type="dxa"/>
            <w:vAlign w:val="bottom"/>
          </w:tcPr>
          <w:p w:rsidR="00AE7D50" w:rsidRPr="00AD151D" w:rsidRDefault="00AE7D50" w:rsidP="004D507D">
            <w:pPr>
              <w:widowControl w:val="0"/>
              <w:jc w:val="center"/>
              <w:rPr>
                <w:sz w:val="18"/>
                <w:szCs w:val="18"/>
              </w:rPr>
            </w:pPr>
            <w:r w:rsidRPr="00AD151D">
              <w:rPr>
                <w:sz w:val="18"/>
                <w:szCs w:val="18"/>
              </w:rPr>
              <w:t>$17,000</w:t>
            </w:r>
          </w:p>
        </w:tc>
        <w:tc>
          <w:tcPr>
            <w:tcW w:w="990" w:type="dxa"/>
            <w:vAlign w:val="bottom"/>
          </w:tcPr>
          <w:p w:rsidR="00AE7D50" w:rsidRPr="00AD151D" w:rsidRDefault="00AE7D50" w:rsidP="004D507D">
            <w:pPr>
              <w:widowControl w:val="0"/>
              <w:jc w:val="center"/>
              <w:rPr>
                <w:sz w:val="18"/>
                <w:szCs w:val="18"/>
              </w:rPr>
            </w:pPr>
            <w:r w:rsidRPr="00AD151D">
              <w:rPr>
                <w:sz w:val="18"/>
                <w:szCs w:val="18"/>
              </w:rPr>
              <w:t>$26,500</w:t>
            </w:r>
          </w:p>
        </w:tc>
        <w:tc>
          <w:tcPr>
            <w:tcW w:w="1170" w:type="dxa"/>
            <w:vAlign w:val="bottom"/>
          </w:tcPr>
          <w:p w:rsidR="00AE7D50" w:rsidRPr="00AD151D" w:rsidRDefault="00AE7D50" w:rsidP="004D507D">
            <w:pPr>
              <w:widowControl w:val="0"/>
              <w:jc w:val="center"/>
              <w:rPr>
                <w:sz w:val="18"/>
                <w:szCs w:val="18"/>
              </w:rPr>
            </w:pPr>
            <w:r w:rsidRPr="00AD151D">
              <w:rPr>
                <w:sz w:val="18"/>
                <w:szCs w:val="18"/>
              </w:rPr>
              <w:t>$25,500</w:t>
            </w:r>
          </w:p>
        </w:tc>
        <w:tc>
          <w:tcPr>
            <w:tcW w:w="810" w:type="dxa"/>
            <w:vAlign w:val="bottom"/>
          </w:tcPr>
          <w:p w:rsidR="00AE7D50" w:rsidRPr="00AD151D" w:rsidRDefault="00AE7D50" w:rsidP="004D507D">
            <w:pPr>
              <w:widowControl w:val="0"/>
              <w:jc w:val="center"/>
              <w:rPr>
                <w:sz w:val="18"/>
                <w:szCs w:val="18"/>
              </w:rPr>
            </w:pPr>
            <w:r w:rsidRPr="00AD151D">
              <w:rPr>
                <w:sz w:val="18"/>
                <w:szCs w:val="18"/>
              </w:rPr>
              <w:t>$7,000</w:t>
            </w:r>
          </w:p>
        </w:tc>
        <w:tc>
          <w:tcPr>
            <w:tcW w:w="810" w:type="dxa"/>
            <w:vAlign w:val="bottom"/>
          </w:tcPr>
          <w:p w:rsidR="00AE7D50" w:rsidRPr="00586B1F" w:rsidRDefault="00AE7D50" w:rsidP="004D507D">
            <w:pPr>
              <w:widowControl w:val="0"/>
              <w:jc w:val="center"/>
              <w:rPr>
                <w:b/>
                <w:sz w:val="18"/>
                <w:szCs w:val="18"/>
              </w:rPr>
            </w:pPr>
            <w:r w:rsidRPr="00586B1F">
              <w:rPr>
                <w:b/>
                <w:sz w:val="18"/>
                <w:szCs w:val="18"/>
              </w:rPr>
              <w:t>$82,500</w:t>
            </w:r>
          </w:p>
        </w:tc>
      </w:tr>
      <w:tr w:rsidR="004D507D" w:rsidRPr="00AD151D" w:rsidTr="00E34EEA">
        <w:trPr>
          <w:trHeight w:val="407"/>
        </w:trPr>
        <w:tc>
          <w:tcPr>
            <w:tcW w:w="1138" w:type="dxa"/>
            <w:vAlign w:val="bottom"/>
          </w:tcPr>
          <w:p w:rsidR="00AE7D50" w:rsidRPr="004D507D" w:rsidRDefault="00AE7D50" w:rsidP="004D507D">
            <w:pPr>
              <w:widowControl w:val="0"/>
              <w:jc w:val="center"/>
              <w:rPr>
                <w:b/>
                <w:bCs/>
                <w:sz w:val="18"/>
                <w:szCs w:val="18"/>
              </w:rPr>
            </w:pPr>
            <w:r w:rsidRPr="004D507D">
              <w:rPr>
                <w:b/>
                <w:bCs/>
                <w:sz w:val="18"/>
                <w:szCs w:val="18"/>
              </w:rPr>
              <w:t>Enforcement Cases</w:t>
            </w:r>
          </w:p>
        </w:tc>
        <w:tc>
          <w:tcPr>
            <w:tcW w:w="990" w:type="dxa"/>
            <w:vAlign w:val="bottom"/>
          </w:tcPr>
          <w:p w:rsidR="00AE7D50" w:rsidRPr="004D507D" w:rsidRDefault="00AE7D50" w:rsidP="004D507D">
            <w:pPr>
              <w:widowControl w:val="0"/>
              <w:jc w:val="center"/>
              <w:rPr>
                <w:sz w:val="18"/>
                <w:szCs w:val="18"/>
              </w:rPr>
            </w:pPr>
            <w:r w:rsidRPr="004D507D">
              <w:rPr>
                <w:sz w:val="18"/>
                <w:szCs w:val="18"/>
              </w:rPr>
              <w:t>0</w:t>
            </w:r>
          </w:p>
        </w:tc>
        <w:tc>
          <w:tcPr>
            <w:tcW w:w="1080" w:type="dxa"/>
            <w:vAlign w:val="bottom"/>
          </w:tcPr>
          <w:p w:rsidR="00AE7D50" w:rsidRPr="004D507D" w:rsidRDefault="00AE7D50" w:rsidP="004D507D">
            <w:pPr>
              <w:widowControl w:val="0"/>
              <w:jc w:val="center"/>
              <w:rPr>
                <w:sz w:val="18"/>
                <w:szCs w:val="18"/>
              </w:rPr>
            </w:pPr>
            <w:r w:rsidRPr="004D507D">
              <w:rPr>
                <w:sz w:val="18"/>
                <w:szCs w:val="18"/>
              </w:rPr>
              <w:t>1</w:t>
            </w:r>
          </w:p>
        </w:tc>
        <w:tc>
          <w:tcPr>
            <w:tcW w:w="1620" w:type="dxa"/>
            <w:vAlign w:val="bottom"/>
          </w:tcPr>
          <w:p w:rsidR="00AE7D50" w:rsidRPr="004D507D" w:rsidRDefault="00AE7D50" w:rsidP="004D507D">
            <w:pPr>
              <w:widowControl w:val="0"/>
              <w:jc w:val="center"/>
              <w:rPr>
                <w:sz w:val="18"/>
                <w:szCs w:val="18"/>
              </w:rPr>
            </w:pPr>
            <w:r w:rsidRPr="004D507D">
              <w:rPr>
                <w:sz w:val="18"/>
                <w:szCs w:val="18"/>
              </w:rPr>
              <w:t>1</w:t>
            </w:r>
          </w:p>
        </w:tc>
        <w:tc>
          <w:tcPr>
            <w:tcW w:w="990" w:type="dxa"/>
            <w:vAlign w:val="bottom"/>
          </w:tcPr>
          <w:p w:rsidR="00AE7D50" w:rsidRPr="004D507D" w:rsidRDefault="00AE7D50" w:rsidP="004D507D">
            <w:pPr>
              <w:widowControl w:val="0"/>
              <w:jc w:val="center"/>
              <w:rPr>
                <w:sz w:val="18"/>
                <w:szCs w:val="18"/>
              </w:rPr>
            </w:pPr>
            <w:r w:rsidRPr="004D507D">
              <w:rPr>
                <w:sz w:val="18"/>
                <w:szCs w:val="18"/>
              </w:rPr>
              <w:t>1</w:t>
            </w:r>
          </w:p>
        </w:tc>
        <w:tc>
          <w:tcPr>
            <w:tcW w:w="1170" w:type="dxa"/>
            <w:vAlign w:val="bottom"/>
          </w:tcPr>
          <w:p w:rsidR="00AE7D50" w:rsidRPr="004D507D" w:rsidRDefault="00AE7D50" w:rsidP="004D507D">
            <w:pPr>
              <w:widowControl w:val="0"/>
              <w:jc w:val="center"/>
              <w:rPr>
                <w:sz w:val="18"/>
                <w:szCs w:val="18"/>
              </w:rPr>
            </w:pPr>
            <w:r w:rsidRPr="004D507D">
              <w:rPr>
                <w:sz w:val="18"/>
                <w:szCs w:val="18"/>
              </w:rPr>
              <w:t>0</w:t>
            </w:r>
          </w:p>
        </w:tc>
        <w:tc>
          <w:tcPr>
            <w:tcW w:w="810" w:type="dxa"/>
            <w:vAlign w:val="bottom"/>
          </w:tcPr>
          <w:p w:rsidR="00AE7D50" w:rsidRPr="004D507D" w:rsidRDefault="00AE7D50" w:rsidP="004D507D">
            <w:pPr>
              <w:widowControl w:val="0"/>
              <w:jc w:val="center"/>
              <w:rPr>
                <w:sz w:val="18"/>
                <w:szCs w:val="18"/>
              </w:rPr>
            </w:pPr>
          </w:p>
          <w:p w:rsidR="00AE7D50" w:rsidRPr="004D507D" w:rsidRDefault="00AE7D50" w:rsidP="004D507D">
            <w:pPr>
              <w:widowControl w:val="0"/>
              <w:jc w:val="center"/>
              <w:rPr>
                <w:sz w:val="18"/>
                <w:szCs w:val="18"/>
              </w:rPr>
            </w:pPr>
            <w:r w:rsidRPr="004D507D">
              <w:rPr>
                <w:sz w:val="18"/>
                <w:szCs w:val="18"/>
              </w:rPr>
              <w:t>1</w:t>
            </w:r>
          </w:p>
        </w:tc>
        <w:tc>
          <w:tcPr>
            <w:tcW w:w="810" w:type="dxa"/>
            <w:vAlign w:val="bottom"/>
          </w:tcPr>
          <w:p w:rsidR="00AE7D50" w:rsidRPr="00AD151D" w:rsidRDefault="00AE7D50" w:rsidP="004D507D">
            <w:pPr>
              <w:widowControl w:val="0"/>
              <w:jc w:val="center"/>
              <w:rPr>
                <w:sz w:val="18"/>
                <w:szCs w:val="18"/>
              </w:rPr>
            </w:pPr>
            <w:r w:rsidRPr="004D507D">
              <w:rPr>
                <w:sz w:val="18"/>
                <w:szCs w:val="18"/>
              </w:rPr>
              <w:t>3</w:t>
            </w:r>
          </w:p>
        </w:tc>
      </w:tr>
      <w:tr w:rsidR="004D507D" w:rsidRPr="00AD151D" w:rsidTr="00E34EEA">
        <w:trPr>
          <w:trHeight w:val="815"/>
        </w:trPr>
        <w:tc>
          <w:tcPr>
            <w:tcW w:w="1138" w:type="dxa"/>
            <w:vAlign w:val="bottom"/>
          </w:tcPr>
          <w:p w:rsidR="00AE7D50" w:rsidRPr="00AD151D" w:rsidRDefault="00AE7D50" w:rsidP="004D507D">
            <w:pPr>
              <w:widowControl w:val="0"/>
              <w:jc w:val="center"/>
              <w:rPr>
                <w:b/>
                <w:bCs/>
                <w:sz w:val="18"/>
                <w:szCs w:val="18"/>
              </w:rPr>
            </w:pPr>
            <w:r w:rsidRPr="00AD151D">
              <w:rPr>
                <w:b/>
                <w:bCs/>
                <w:sz w:val="18"/>
                <w:szCs w:val="18"/>
              </w:rPr>
              <w:t>Penalties paid in enforcement cases</w:t>
            </w:r>
          </w:p>
        </w:tc>
        <w:tc>
          <w:tcPr>
            <w:tcW w:w="990" w:type="dxa"/>
            <w:vAlign w:val="bottom"/>
          </w:tcPr>
          <w:p w:rsidR="00AE7D50" w:rsidRPr="00AD151D" w:rsidRDefault="00AE7D50" w:rsidP="004D507D">
            <w:pPr>
              <w:widowControl w:val="0"/>
              <w:jc w:val="center"/>
              <w:rPr>
                <w:sz w:val="18"/>
                <w:szCs w:val="18"/>
              </w:rPr>
            </w:pPr>
            <w:r w:rsidRPr="00AD151D">
              <w:rPr>
                <w:sz w:val="18"/>
                <w:szCs w:val="18"/>
              </w:rPr>
              <w:t>0</w:t>
            </w:r>
          </w:p>
        </w:tc>
        <w:tc>
          <w:tcPr>
            <w:tcW w:w="1080" w:type="dxa"/>
            <w:vAlign w:val="bottom"/>
          </w:tcPr>
          <w:p w:rsidR="00AE7D50" w:rsidRPr="00AD151D" w:rsidRDefault="00AE7D50" w:rsidP="004D507D">
            <w:pPr>
              <w:widowControl w:val="0"/>
              <w:jc w:val="center"/>
              <w:rPr>
                <w:sz w:val="18"/>
                <w:szCs w:val="18"/>
              </w:rPr>
            </w:pPr>
            <w:r w:rsidRPr="00AD151D">
              <w:rPr>
                <w:sz w:val="18"/>
                <w:szCs w:val="18"/>
              </w:rPr>
              <w:t>$107,500</w:t>
            </w:r>
          </w:p>
        </w:tc>
        <w:tc>
          <w:tcPr>
            <w:tcW w:w="1620" w:type="dxa"/>
            <w:vAlign w:val="bottom"/>
          </w:tcPr>
          <w:p w:rsidR="00AE7D50" w:rsidRPr="00AD151D" w:rsidRDefault="00AE7D50" w:rsidP="004D507D">
            <w:pPr>
              <w:widowControl w:val="0"/>
              <w:jc w:val="center"/>
              <w:rPr>
                <w:sz w:val="18"/>
                <w:szCs w:val="18"/>
              </w:rPr>
            </w:pPr>
            <w:r w:rsidRPr="00AD151D">
              <w:rPr>
                <w:sz w:val="18"/>
                <w:szCs w:val="18"/>
              </w:rPr>
              <w:t>$225,000</w:t>
            </w:r>
          </w:p>
        </w:tc>
        <w:tc>
          <w:tcPr>
            <w:tcW w:w="990" w:type="dxa"/>
            <w:vAlign w:val="bottom"/>
          </w:tcPr>
          <w:p w:rsidR="00AE7D50" w:rsidRPr="00AD151D" w:rsidRDefault="00AE7D50" w:rsidP="004D507D">
            <w:pPr>
              <w:widowControl w:val="0"/>
              <w:jc w:val="center"/>
              <w:rPr>
                <w:sz w:val="18"/>
                <w:szCs w:val="18"/>
              </w:rPr>
            </w:pPr>
            <w:r w:rsidRPr="00AD151D">
              <w:rPr>
                <w:sz w:val="18"/>
                <w:szCs w:val="18"/>
              </w:rPr>
              <w:t>$300,000</w:t>
            </w:r>
          </w:p>
        </w:tc>
        <w:tc>
          <w:tcPr>
            <w:tcW w:w="1170" w:type="dxa"/>
            <w:vAlign w:val="bottom"/>
          </w:tcPr>
          <w:p w:rsidR="00AE7D50" w:rsidRPr="00AD151D" w:rsidRDefault="00AE7D50" w:rsidP="004D507D">
            <w:pPr>
              <w:widowControl w:val="0"/>
              <w:jc w:val="center"/>
              <w:rPr>
                <w:sz w:val="18"/>
                <w:szCs w:val="18"/>
              </w:rPr>
            </w:pPr>
            <w:r w:rsidRPr="00AD151D">
              <w:rPr>
                <w:sz w:val="18"/>
                <w:szCs w:val="18"/>
              </w:rPr>
              <w:t>0</w:t>
            </w:r>
          </w:p>
        </w:tc>
        <w:tc>
          <w:tcPr>
            <w:tcW w:w="810" w:type="dxa"/>
            <w:vAlign w:val="bottom"/>
          </w:tcPr>
          <w:p w:rsidR="00AE7D50" w:rsidRPr="00AD151D" w:rsidRDefault="00AE7D50" w:rsidP="004D507D">
            <w:pPr>
              <w:widowControl w:val="0"/>
              <w:jc w:val="center"/>
              <w:rPr>
                <w:sz w:val="18"/>
                <w:szCs w:val="18"/>
              </w:rPr>
            </w:pPr>
          </w:p>
          <w:p w:rsidR="00AE7D50" w:rsidRPr="00AD151D" w:rsidRDefault="00415330" w:rsidP="004D507D">
            <w:pPr>
              <w:widowControl w:val="0"/>
              <w:jc w:val="center"/>
              <w:rPr>
                <w:sz w:val="18"/>
                <w:szCs w:val="18"/>
              </w:rPr>
            </w:pPr>
            <w:r>
              <w:rPr>
                <w:sz w:val="18"/>
                <w:szCs w:val="18"/>
              </w:rPr>
              <w:t>$215,000</w:t>
            </w:r>
          </w:p>
        </w:tc>
        <w:tc>
          <w:tcPr>
            <w:tcW w:w="810" w:type="dxa"/>
            <w:vAlign w:val="bottom"/>
          </w:tcPr>
          <w:p w:rsidR="00AE7D50" w:rsidRPr="00586B1F" w:rsidRDefault="00AE7D50" w:rsidP="004D507D">
            <w:pPr>
              <w:widowControl w:val="0"/>
              <w:jc w:val="center"/>
              <w:rPr>
                <w:b/>
                <w:sz w:val="18"/>
                <w:szCs w:val="18"/>
              </w:rPr>
            </w:pPr>
            <w:r w:rsidRPr="00586B1F">
              <w:rPr>
                <w:b/>
                <w:sz w:val="18"/>
                <w:szCs w:val="18"/>
              </w:rPr>
              <w:t>$</w:t>
            </w:r>
            <w:r w:rsidR="00415330" w:rsidRPr="00586B1F">
              <w:rPr>
                <w:b/>
                <w:sz w:val="18"/>
                <w:szCs w:val="18"/>
              </w:rPr>
              <w:t>847,500</w:t>
            </w:r>
          </w:p>
        </w:tc>
      </w:tr>
    </w:tbl>
    <w:p w:rsidR="00AE7D50" w:rsidRPr="00AD151D" w:rsidRDefault="00AE7D50" w:rsidP="004D507D">
      <w:pPr>
        <w:widowControl w:val="0"/>
        <w:spacing w:before="120"/>
        <w:jc w:val="both"/>
        <w:rPr>
          <w:sz w:val="20"/>
          <w:szCs w:val="20"/>
        </w:rPr>
      </w:pPr>
      <w:r w:rsidRPr="00AD151D">
        <w:rPr>
          <w:sz w:val="20"/>
          <w:szCs w:val="20"/>
        </w:rPr>
        <w:t>Source – CPUC enforcement records</w:t>
      </w:r>
    </w:p>
    <w:p w:rsidR="00AE7D50" w:rsidRPr="00AD151D" w:rsidRDefault="00AE7D50">
      <w:pPr>
        <w:spacing w:before="120"/>
        <w:ind w:firstLine="720"/>
      </w:pPr>
      <w:r w:rsidRPr="00AD151D">
        <w:lastRenderedPageBreak/>
        <w:t>In 2011 there was a large improvement in the quality of the RA filings, and a decrease in the amount of recurrent minor errors in the filings.  The small errors continued to be related to the outage counting protocol or mismatched supply plans.  There is also the continued need to monitor administrative issues such as filing dates and filing procedures.</w:t>
      </w:r>
    </w:p>
    <w:p w:rsidR="00AE7D50" w:rsidRPr="00AD151D" w:rsidRDefault="00AE7D50">
      <w:pPr>
        <w:pStyle w:val="Heading1"/>
        <w:numPr>
          <w:ilvl w:val="0"/>
          <w:numId w:val="18"/>
        </w:numPr>
        <w:spacing w:before="120" w:after="120"/>
      </w:pPr>
      <w:bookmarkStart w:id="134" w:name="_Toc223253263"/>
      <w:bookmarkStart w:id="135" w:name="_Toc223315675"/>
      <w:bookmarkStart w:id="136" w:name="_Toc224022449"/>
      <w:bookmarkStart w:id="137" w:name="_Toc347827066"/>
      <w:r w:rsidRPr="00AD151D">
        <w:t>Generator Performance and Availability</w:t>
      </w:r>
      <w:bookmarkEnd w:id="137"/>
    </w:p>
    <w:p w:rsidR="00AE7D50" w:rsidRPr="00AD151D" w:rsidRDefault="00ED67AB">
      <w:pPr>
        <w:spacing w:before="120"/>
        <w:ind w:firstLine="432"/>
      </w:pPr>
      <w:r>
        <w:t xml:space="preserve">To facilitate and ensure that generators perform in accordance with their RA capacity contracts, and are available as per agreement.  To this end, </w:t>
      </w:r>
      <w:r w:rsidR="00AE7D50" w:rsidRPr="00AD151D">
        <w:t xml:space="preserve">CAISO </w:t>
      </w:r>
      <w:r>
        <w:t xml:space="preserve">developed and </w:t>
      </w:r>
      <w:r w:rsidR="00AE7D50" w:rsidRPr="00AD151D">
        <w:t>implement</w:t>
      </w:r>
      <w:r>
        <w:t>ed</w:t>
      </w:r>
      <w:r w:rsidR="00AE7D50" w:rsidRPr="00AD151D">
        <w:t xml:space="preserve"> Standard Capacity Product (SCP) </w:t>
      </w:r>
      <w:r>
        <w:t>provisions, monitor and penalize generator’s Scheduling Coordinators (SCs) with</w:t>
      </w:r>
      <w:r w:rsidR="001A2D84">
        <w:t xml:space="preserve"> </w:t>
      </w:r>
      <w:r w:rsidR="00AE7D50" w:rsidRPr="00AD151D">
        <w:t>performance and availability penalties</w:t>
      </w:r>
      <w:r w:rsidR="001A2D84">
        <w:t>,</w:t>
      </w:r>
      <w:r w:rsidR="00AE7D50" w:rsidRPr="00AD151D">
        <w:t xml:space="preserve"> on January 1, 2010.  SCP penalties </w:t>
      </w:r>
      <w:r w:rsidR="001A2D84">
        <w:t xml:space="preserve">could </w:t>
      </w:r>
      <w:r w:rsidR="00AE7D50" w:rsidRPr="00AD151D">
        <w:t xml:space="preserve">apply </w:t>
      </w:r>
      <w:r w:rsidR="001A2D84">
        <w:t xml:space="preserve">to </w:t>
      </w:r>
      <w:r w:rsidR="00AE7D50" w:rsidRPr="00AD151D">
        <w:t>both generation confirmed as RA resources for the month and located inside CAISO and resources confirmed as RA for the month and located external to CAISO.  SCP reporting information is posted to the CAISO website.</w:t>
      </w:r>
      <w:r w:rsidR="00AE7D50" w:rsidRPr="00AD151D">
        <w:rPr>
          <w:rStyle w:val="FootnoteReference"/>
        </w:rPr>
        <w:footnoteReference w:id="36"/>
      </w:r>
    </w:p>
    <w:p w:rsidR="00AE7D50" w:rsidRPr="00AD151D" w:rsidRDefault="001A2D84">
      <w:pPr>
        <w:spacing w:before="120"/>
        <w:ind w:firstLine="432"/>
      </w:pPr>
      <w:r>
        <w:t>To b</w:t>
      </w:r>
      <w:r w:rsidR="002C2708">
        <w:t>etter understand and bench mark</w:t>
      </w:r>
      <w:r w:rsidR="00AE7D50" w:rsidRPr="00AD151D">
        <w:t xml:space="preserve"> power plant </w:t>
      </w:r>
      <w:r>
        <w:t xml:space="preserve">performance, availability and </w:t>
      </w:r>
      <w:r w:rsidR="00AE7D50" w:rsidRPr="00AD151D">
        <w:t xml:space="preserve">reliability </w:t>
      </w:r>
      <w:r>
        <w:t>the</w:t>
      </w:r>
      <w:r w:rsidR="00AE7D50" w:rsidRPr="00AD151D">
        <w:t xml:space="preserve"> North American Electric Reliability Corporation (NERC) via the Generator Availability Data System (GADS) application</w:t>
      </w:r>
      <w:r>
        <w:t xml:space="preserve"> also tracks, records and measures generator performance data</w:t>
      </w:r>
      <w:r w:rsidR="00AE7D50" w:rsidRPr="00AD151D">
        <w:t>.  G</w:t>
      </w:r>
      <w:r w:rsidR="00467339" w:rsidRPr="00AD151D">
        <w:t xml:space="preserve">eneral Order </w:t>
      </w:r>
      <w:r w:rsidR="00AE7D50" w:rsidRPr="00AD151D">
        <w:t xml:space="preserve">167 requires large generating facilities in California to submit data to GADS, but the process is underway at NERC to create a mandatory reporting requirement for most generators. </w:t>
      </w:r>
    </w:p>
    <w:p w:rsidR="00AE7D50" w:rsidRPr="00277DC8" w:rsidRDefault="00AE7D50">
      <w:pPr>
        <w:pStyle w:val="Heading2"/>
        <w:numPr>
          <w:ilvl w:val="1"/>
          <w:numId w:val="18"/>
        </w:numPr>
        <w:spacing w:before="120"/>
        <w:rPr>
          <w:i w:val="0"/>
        </w:rPr>
      </w:pPr>
      <w:bookmarkStart w:id="138" w:name="_Ref287348386"/>
      <w:bookmarkStart w:id="139" w:name="_Toc347827067"/>
      <w:r w:rsidRPr="00277DC8">
        <w:rPr>
          <w:i w:val="0"/>
        </w:rPr>
        <w:t>Performance and Availability for RA Resources in CAISO</w:t>
      </w:r>
      <w:bookmarkEnd w:id="139"/>
    </w:p>
    <w:p w:rsidR="00C7610B" w:rsidRDefault="003D16C2" w:rsidP="003D16C2">
      <w:pPr>
        <w:spacing w:before="120"/>
        <w:ind w:firstLine="576"/>
      </w:pPr>
      <w:r w:rsidRPr="00AD151D">
        <w:t xml:space="preserve">On January 1, 2011 the </w:t>
      </w:r>
      <w:r w:rsidR="00ED67AB">
        <w:t xml:space="preserve">CAISO implemented newly developed SCP provisions for </w:t>
      </w:r>
      <w:r w:rsidRPr="00AD151D">
        <w:t xml:space="preserve">resources whose </w:t>
      </w:r>
      <w:r w:rsidR="006C5D7A">
        <w:t>QC</w:t>
      </w:r>
      <w:r w:rsidRPr="00AD151D">
        <w:t xml:space="preserve"> is based on historical values.</w:t>
      </w:r>
      <w:r w:rsidR="006802FD">
        <w:t xml:space="preserve"> </w:t>
      </w:r>
      <w:r w:rsidRPr="00AD151D">
        <w:t xml:space="preserve"> Demand Response resources currently</w:t>
      </w:r>
      <w:r w:rsidR="00C7610B">
        <w:t xml:space="preserve"> remain</w:t>
      </w:r>
      <w:r w:rsidRPr="00AD151D">
        <w:t xml:space="preserve"> exempt. </w:t>
      </w:r>
      <w:r w:rsidR="006802FD">
        <w:t xml:space="preserve"> </w:t>
      </w:r>
      <w:r w:rsidR="00C7610B">
        <w:t>In 2011</w:t>
      </w:r>
      <w:r w:rsidRPr="00AD151D">
        <w:t xml:space="preserve"> the SCP program</w:t>
      </w:r>
      <w:r w:rsidR="00C7610B">
        <w:t xml:space="preserve"> established</w:t>
      </w:r>
      <w:r w:rsidRPr="00AD151D">
        <w:t xml:space="preserve"> an availability standard for each month.  </w:t>
      </w:r>
    </w:p>
    <w:p w:rsidR="003D16C2" w:rsidRPr="00AD151D" w:rsidRDefault="003D16C2" w:rsidP="003D16C2">
      <w:pPr>
        <w:spacing w:before="120"/>
        <w:ind w:firstLine="576"/>
      </w:pPr>
      <w:r w:rsidRPr="00AD151D">
        <w:t xml:space="preserve">The CAISO performed a monthly review of all RA resources subject to SCP to determine </w:t>
      </w:r>
      <w:r w:rsidR="00C7610B">
        <w:t xml:space="preserve">whether </w:t>
      </w:r>
      <w:r w:rsidRPr="00AD151D">
        <w:t>the resource</w:t>
      </w:r>
      <w:r w:rsidR="00C7610B">
        <w:t>’s</w:t>
      </w:r>
      <w:r w:rsidRPr="00AD151D">
        <w:t xml:space="preserve"> monthly availability met the monthly availability standard.  When </w:t>
      </w:r>
      <w:r w:rsidR="00C7610B">
        <w:t xml:space="preserve">an </w:t>
      </w:r>
      <w:r w:rsidRPr="00AD151D">
        <w:t>RA resource</w:t>
      </w:r>
      <w:r w:rsidR="00C7610B">
        <w:t>’s</w:t>
      </w:r>
      <w:r w:rsidRPr="00AD151D">
        <w:t xml:space="preserve"> availability is greater than 2.5 % of the monthly availability standard, the resource </w:t>
      </w:r>
      <w:r w:rsidR="00C7610B">
        <w:t xml:space="preserve">becomes </w:t>
      </w:r>
      <w:r w:rsidRPr="00AD151D">
        <w:t xml:space="preserve">eligible </w:t>
      </w:r>
      <w:r w:rsidR="00C7610B">
        <w:t>for</w:t>
      </w:r>
      <w:r w:rsidRPr="00AD151D">
        <w:t xml:space="preserve"> an availability incentive payment.  When </w:t>
      </w:r>
      <w:r w:rsidR="00C7610B">
        <w:t xml:space="preserve">an </w:t>
      </w:r>
      <w:r w:rsidRPr="00AD151D">
        <w:t>RA resource</w:t>
      </w:r>
      <w:r w:rsidR="00C7610B">
        <w:t>’s</w:t>
      </w:r>
      <w:r w:rsidRPr="00AD151D">
        <w:t xml:space="preserve"> availability </w:t>
      </w:r>
      <w:r w:rsidR="00C7610B">
        <w:t>falls</w:t>
      </w:r>
      <w:r w:rsidRPr="00AD151D">
        <w:t xml:space="preserve"> 2.5 % below the monthly availability standard, the resource </w:t>
      </w:r>
      <w:r w:rsidR="00C7610B">
        <w:t>becomes</w:t>
      </w:r>
      <w:r w:rsidRPr="00AD151D">
        <w:t xml:space="preserve"> subject to a non-availability charge.</w:t>
      </w:r>
      <w:r w:rsidR="007C7820" w:rsidRPr="00AD151D">
        <w:rPr>
          <w:rStyle w:val="FootnoteReference"/>
        </w:rPr>
        <w:t xml:space="preserve"> </w:t>
      </w:r>
      <w:r w:rsidR="007C7820" w:rsidRPr="00AD151D">
        <w:rPr>
          <w:rStyle w:val="FootnoteReference"/>
        </w:rPr>
        <w:footnoteReference w:id="37"/>
      </w:r>
      <w:r w:rsidRPr="00AD151D">
        <w:t xml:space="preserve">  </w:t>
      </w:r>
      <w:r w:rsidR="00C7610B">
        <w:t>To maintain a revenue neutral program the p</w:t>
      </w:r>
      <w:r w:rsidRPr="00AD151D">
        <w:t>erformance payments for a particular month are drawn from the pool of performance penalties paid for that month.</w:t>
      </w:r>
    </w:p>
    <w:p w:rsidR="003D16C2" w:rsidRPr="00AD151D" w:rsidRDefault="00C7610B" w:rsidP="003D16C2">
      <w:pPr>
        <w:spacing w:before="120"/>
        <w:ind w:firstLine="576"/>
      </w:pPr>
      <w:r>
        <w:t>The CAISO calculates t</w:t>
      </w:r>
      <w:r w:rsidR="003D16C2" w:rsidRPr="00AD151D">
        <w:t xml:space="preserve">he monthly availability standard using the historical forced outages of RA resources over the range </w:t>
      </w:r>
      <w:r>
        <w:t xml:space="preserve">of </w:t>
      </w:r>
      <w:r w:rsidR="003D16C2" w:rsidRPr="00AD151D">
        <w:t xml:space="preserve">availability assessment hours for each month of the year for the past three years.  </w:t>
      </w:r>
    </w:p>
    <w:p w:rsidR="003D16C2" w:rsidRPr="00AD151D" w:rsidRDefault="00C7610B" w:rsidP="003D16C2">
      <w:pPr>
        <w:spacing w:before="120"/>
        <w:ind w:firstLine="576"/>
      </w:pPr>
      <w:r>
        <w:t xml:space="preserve">The CAISO calculates individual resource </w:t>
      </w:r>
      <w:r w:rsidR="003D16C2" w:rsidRPr="00AD151D">
        <w:t xml:space="preserve">availability by taking the total RA capacity available reported in SLIC divided by all the availability assessment hours in the </w:t>
      </w:r>
      <w:r w:rsidR="003D16C2" w:rsidRPr="00AD151D">
        <w:lastRenderedPageBreak/>
        <w:t xml:space="preserve">month.  A resource is considered 100% available if the resource has no forced outages or temperature related ambient de-rates that impact the RA capacity during the availability assessment hours. </w:t>
      </w:r>
    </w:p>
    <w:p w:rsidR="003D16C2" w:rsidRPr="00AD151D" w:rsidRDefault="003D16C2" w:rsidP="003D16C2">
      <w:pPr>
        <w:spacing w:before="120"/>
        <w:ind w:firstLine="576"/>
      </w:pPr>
      <w:r w:rsidRPr="00AD151D">
        <w:t>In contrast</w:t>
      </w:r>
      <w:r w:rsidR="006802FD">
        <w:t xml:space="preserve"> non-resource specific </w:t>
      </w:r>
      <w:r w:rsidRPr="00AD151D">
        <w:t xml:space="preserve">System resource availability (intertie availability) is not based on outages in SLIC.  The availability of a NRS System Resource will be measured by its hourly offers </w:t>
      </w:r>
      <w:r w:rsidR="002A3FD6">
        <w:t>(e.g.</w:t>
      </w:r>
      <w:r w:rsidRPr="00AD151D">
        <w:t xml:space="preserve"> Economic Bids or Self-Schedules</w:t>
      </w:r>
      <w:r w:rsidR="002A3FD6">
        <w:t>)</w:t>
      </w:r>
      <w:r w:rsidRPr="00AD151D">
        <w:t xml:space="preserve"> to provide energy, per Tariff Section 40.9.7.2 Availability Calculation for Non-Resource-Specific System Resources Providing Resource Adequacy Capacity.  </w:t>
      </w:r>
    </w:p>
    <w:p w:rsidR="00AE7D50" w:rsidRPr="00AD151D" w:rsidRDefault="009C3C19" w:rsidP="003D16C2">
      <w:pPr>
        <w:spacing w:before="120"/>
        <w:ind w:firstLine="576"/>
      </w:pPr>
      <w:r>
        <w:fldChar w:fldCharType="begin"/>
      </w:r>
      <w:r>
        <w:instrText xml:space="preserve"> REF _Ref287344325 \h </w:instrText>
      </w:r>
      <w:r>
        <w:fldChar w:fldCharType="separate"/>
      </w:r>
      <w:r w:rsidR="00B3535E" w:rsidRPr="00AD151D">
        <w:t xml:space="preserve">Table </w:t>
      </w:r>
      <w:r w:rsidR="00B3535E">
        <w:rPr>
          <w:noProof/>
        </w:rPr>
        <w:t>17</w:t>
      </w:r>
      <w:r>
        <w:fldChar w:fldCharType="end"/>
      </w:r>
      <w:r>
        <w:t xml:space="preserve"> </w:t>
      </w:r>
      <w:r w:rsidR="003D16C2" w:rsidRPr="00AD151D">
        <w:t>provides SCP data</w:t>
      </w:r>
      <w:r w:rsidR="007C7820" w:rsidRPr="00AD151D">
        <w:rPr>
          <w:rStyle w:val="FootnoteReference"/>
        </w:rPr>
        <w:footnoteReference w:id="38"/>
      </w:r>
      <w:r w:rsidR="003D16C2" w:rsidRPr="00AD151D">
        <w:t xml:space="preserve"> for January to December 201</w:t>
      </w:r>
      <w:r>
        <w:t>1</w:t>
      </w:r>
      <w:r w:rsidR="003D16C2" w:rsidRPr="00AD151D">
        <w:t>.</w:t>
      </w:r>
      <w:r w:rsidR="002A3FD6">
        <w:t xml:space="preserve"> </w:t>
      </w:r>
      <w:r w:rsidR="002A3FD6" w:rsidRPr="00AD151D">
        <w:t>This chart shows that in 2011 on average 21,355 MW</w:t>
      </w:r>
      <w:r w:rsidR="002A3FD6" w:rsidRPr="00AD151D">
        <w:rPr>
          <w:rStyle w:val="FootnoteReference"/>
        </w:rPr>
        <w:footnoteReference w:id="39"/>
      </w:r>
      <w:r w:rsidR="002A3FD6" w:rsidRPr="00AD151D">
        <w:t xml:space="preserve"> of RA capacity from generators and 590 MW</w:t>
      </w:r>
      <w:r w:rsidR="002A3FD6" w:rsidRPr="00AD151D">
        <w:rPr>
          <w:rStyle w:val="FootnoteReference"/>
        </w:rPr>
        <w:footnoteReference w:id="40"/>
      </w:r>
      <w:r w:rsidR="002A3FD6" w:rsidRPr="00AD151D">
        <w:t xml:space="preserve"> of RA capacity from interties were subject to SCP rules.  The monthly availability standard ranged from just under 98 percent to just under 96 percent during 2011; actual availability of generators averaged at 98 percent, which exceeded the availability standards in several months, while intertie resources had an average availability of 92 percent, dipping as low as 78% in April and July. </w:t>
      </w:r>
      <w:r w:rsidR="003D16C2" w:rsidRPr="00AD151D">
        <w:t xml:space="preserve"> The monthly availability standards are listed in the top row followed by the non-availability charges and availability incentive payments.  Additionally, this chart shows the available capacity subject to SCP and the average actual availability. </w:t>
      </w:r>
      <w:r w:rsidR="00180C07">
        <w:t xml:space="preserve"> </w:t>
      </w:r>
      <w:r w:rsidR="003D16C2" w:rsidRPr="00AD151D">
        <w:t xml:space="preserve">All the values are calculated for both generators and interties.  </w:t>
      </w:r>
      <w:r w:rsidR="00AE7D50" w:rsidRPr="00AD151D">
        <w:t xml:space="preserve">  </w:t>
      </w:r>
    </w:p>
    <w:p w:rsidR="00AE7D50" w:rsidRPr="00AD151D" w:rsidRDefault="00AE7D50" w:rsidP="007C7820">
      <w:pPr>
        <w:pStyle w:val="Caption"/>
        <w:keepNext/>
        <w:keepLines/>
        <w:spacing w:before="120"/>
        <w:rPr>
          <w:sz w:val="24"/>
          <w:szCs w:val="24"/>
        </w:rPr>
      </w:pPr>
      <w:bookmarkStart w:id="140" w:name="_Ref287344325"/>
      <w:bookmarkStart w:id="141" w:name="_Toc287352851"/>
      <w:bookmarkStart w:id="142" w:name="_Toc347827087"/>
      <w:r w:rsidRPr="00AD151D">
        <w:rPr>
          <w:sz w:val="24"/>
          <w:szCs w:val="24"/>
        </w:rPr>
        <w:t xml:space="preserve">Table </w:t>
      </w:r>
      <w:r w:rsidRPr="00AD151D">
        <w:rPr>
          <w:sz w:val="24"/>
          <w:szCs w:val="24"/>
        </w:rPr>
        <w:fldChar w:fldCharType="begin"/>
      </w:r>
      <w:r w:rsidRPr="00AD151D">
        <w:rPr>
          <w:sz w:val="24"/>
          <w:szCs w:val="24"/>
        </w:rPr>
        <w:instrText xml:space="preserve"> SEQ Table \* ARABIC </w:instrText>
      </w:r>
      <w:r w:rsidRPr="00AD151D">
        <w:rPr>
          <w:sz w:val="24"/>
          <w:szCs w:val="24"/>
        </w:rPr>
        <w:fldChar w:fldCharType="separate"/>
      </w:r>
      <w:r w:rsidR="00B3535E">
        <w:rPr>
          <w:noProof/>
          <w:sz w:val="24"/>
          <w:szCs w:val="24"/>
        </w:rPr>
        <w:t>17</w:t>
      </w:r>
      <w:r w:rsidRPr="00AD151D">
        <w:rPr>
          <w:sz w:val="24"/>
          <w:szCs w:val="24"/>
        </w:rPr>
        <w:fldChar w:fldCharType="end"/>
      </w:r>
      <w:bookmarkEnd w:id="140"/>
      <w:r w:rsidRPr="00AD151D">
        <w:rPr>
          <w:sz w:val="24"/>
          <w:szCs w:val="24"/>
        </w:rPr>
        <w:t xml:space="preserve"> </w:t>
      </w:r>
      <w:r w:rsidR="008F038D">
        <w:rPr>
          <w:sz w:val="24"/>
          <w:szCs w:val="24"/>
        </w:rPr>
        <w:t xml:space="preserve">2011 </w:t>
      </w:r>
      <w:r w:rsidRPr="00AD151D">
        <w:rPr>
          <w:sz w:val="24"/>
          <w:szCs w:val="24"/>
        </w:rPr>
        <w:t>SCP charges</w:t>
      </w:r>
      <w:bookmarkEnd w:id="141"/>
      <w:r w:rsidR="003A2EEB">
        <w:rPr>
          <w:sz w:val="24"/>
          <w:szCs w:val="24"/>
        </w:rPr>
        <w:t xml:space="preserve"> ($)</w:t>
      </w:r>
      <w:bookmarkEnd w:id="142"/>
    </w:p>
    <w:tbl>
      <w:tblPr>
        <w:tblW w:w="11130" w:type="dxa"/>
        <w:tblInd w:w="-902" w:type="dxa"/>
        <w:tblLayout w:type="fixed"/>
        <w:tblCellMar>
          <w:left w:w="58" w:type="dxa"/>
          <w:right w:w="58" w:type="dxa"/>
        </w:tblCellMar>
        <w:tblLook w:val="0000" w:firstRow="0" w:lastRow="0" w:firstColumn="0" w:lastColumn="0" w:noHBand="0" w:noVBand="0"/>
      </w:tblPr>
      <w:tblGrid>
        <w:gridCol w:w="970"/>
        <w:gridCol w:w="720"/>
        <w:gridCol w:w="720"/>
        <w:gridCol w:w="900"/>
        <w:gridCol w:w="720"/>
        <w:gridCol w:w="810"/>
        <w:gridCol w:w="810"/>
        <w:gridCol w:w="810"/>
        <w:gridCol w:w="720"/>
        <w:gridCol w:w="810"/>
        <w:gridCol w:w="810"/>
        <w:gridCol w:w="810"/>
        <w:gridCol w:w="800"/>
        <w:gridCol w:w="720"/>
      </w:tblGrid>
      <w:tr w:rsidR="00180C07" w:rsidTr="00DA6508">
        <w:trPr>
          <w:trHeight w:val="290"/>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jc w:val="right"/>
              <w:rPr>
                <w:rFonts w:ascii="Calibri" w:hAnsi="Calibri" w:cs="Calibri"/>
                <w:b/>
                <w:bCs/>
                <w:color w:val="000000"/>
                <w:sz w:val="14"/>
                <w:szCs w:val="14"/>
              </w:rPr>
            </w:pP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Jan-11</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Feb-11</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Mar-11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Apr-11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May-11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Jun-11</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Jul-11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Aug-11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Sep-11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Oct-11</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Nov-11</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Dec-11</w:t>
            </w:r>
          </w:p>
        </w:tc>
      </w:tr>
      <w:tr w:rsidR="00180C07" w:rsidTr="00DA6508">
        <w:trPr>
          <w:trHeight w:val="290"/>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2011 Mthly</w:t>
            </w:r>
          </w:p>
          <w:p w:rsidR="00180C07" w:rsidRDefault="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Avail. Stnds.</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Generator</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97%</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r>
      <w:tr w:rsidR="00180C07" w:rsidTr="00DA6508">
        <w:trPr>
          <w:trHeight w:val="192"/>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jc w:val="right"/>
              <w:rPr>
                <w:rFonts w:ascii="Calibri" w:hAnsi="Calibri" w:cs="Calibri"/>
                <w:b/>
                <w:bCs/>
                <w:color w:val="000000"/>
                <w:sz w:val="14"/>
                <w:szCs w:val="14"/>
              </w:rPr>
            </w:pP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Intertie</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97%</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r>
      <w:tr w:rsidR="00180C07" w:rsidTr="00DA6508">
        <w:trPr>
          <w:trHeight w:val="305"/>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Non-Avail.</w:t>
            </w:r>
          </w:p>
          <w:p w:rsidR="00180C07" w:rsidRDefault="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Charges</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Generator</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$219,403</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$316,375</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$681,052</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$1,219,631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$1,088,173</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$1,279,459</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$554,338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$4,120,218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$2,099,562</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$1,336,811</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$1,622,840</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$885,087</w:t>
            </w:r>
          </w:p>
        </w:tc>
      </w:tr>
      <w:tr w:rsidR="00180C07" w:rsidTr="00DA6508">
        <w:trPr>
          <w:trHeight w:val="66"/>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jc w:val="right"/>
              <w:rPr>
                <w:rFonts w:ascii="Calibri" w:hAnsi="Calibri" w:cs="Calibri"/>
                <w:b/>
                <w:bCs/>
                <w:color w:val="000000"/>
                <w:sz w:val="14"/>
                <w:szCs w:val="14"/>
              </w:rPr>
            </w:pP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Intertie</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$68,793</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$47,376</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$55,041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$170,714</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$32,515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$456,494</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$913,075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$222,827</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$3,592</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$90,977</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$4,676</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$36,376</w:t>
            </w:r>
          </w:p>
        </w:tc>
      </w:tr>
      <w:tr w:rsidR="00180C07" w:rsidTr="00DA6508">
        <w:trPr>
          <w:trHeight w:val="305"/>
        </w:trPr>
        <w:tc>
          <w:tcPr>
            <w:tcW w:w="970" w:type="dxa"/>
            <w:tcBorders>
              <w:top w:val="single" w:sz="6" w:space="0" w:color="auto"/>
              <w:left w:val="single" w:sz="6" w:space="0" w:color="auto"/>
              <w:bottom w:val="single" w:sz="6" w:space="0" w:color="auto"/>
              <w:right w:val="single" w:sz="6" w:space="0" w:color="auto"/>
            </w:tcBorders>
          </w:tcPr>
          <w:p w:rsidR="00180C07" w:rsidRDefault="009C3C19" w:rsidP="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Avail. Incentive payments</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Generator</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$681,052</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$1,219,631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$1,088,173</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$1,184,030</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$554,338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$3,720,905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$2,099,562</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$1,622,840</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r>
      <w:tr w:rsidR="00180C07" w:rsidTr="00DA6508">
        <w:trPr>
          <w:trHeight w:val="120"/>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jc w:val="right"/>
              <w:rPr>
                <w:rFonts w:ascii="Calibri" w:hAnsi="Calibri" w:cs="Calibri"/>
                <w:b/>
                <w:bCs/>
                <w:color w:val="000000"/>
                <w:sz w:val="14"/>
                <w:szCs w:val="14"/>
              </w:rPr>
            </w:pP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Intertie</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$22,033</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$53,344</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$32,515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$31,116</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$144,935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$199,353</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$3,592</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$4,676</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r>
      <w:tr w:rsidR="00180C07" w:rsidTr="00DA6508">
        <w:trPr>
          <w:trHeight w:val="165"/>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Mthly. Surplus</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Generator</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$219,403</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$316,375</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$95,429</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$399,314</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$1,336,811</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$885,087</w:t>
            </w:r>
          </w:p>
        </w:tc>
      </w:tr>
      <w:tr w:rsidR="00180C07" w:rsidTr="00DA6508">
        <w:trPr>
          <w:trHeight w:val="138"/>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jc w:val="right"/>
              <w:rPr>
                <w:rFonts w:ascii="Calibri" w:hAnsi="Calibri" w:cs="Calibri"/>
                <w:b/>
                <w:bCs/>
                <w:color w:val="000000"/>
                <w:sz w:val="14"/>
                <w:szCs w:val="14"/>
              </w:rPr>
            </w:pP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Intertie</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$68,793</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$47,376</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$33,008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$117,370</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$425,378</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$768,140</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$23,474</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$90,977</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$36,376</w:t>
            </w:r>
          </w:p>
        </w:tc>
      </w:tr>
      <w:tr w:rsidR="00180C07" w:rsidTr="00DA6508">
        <w:trPr>
          <w:trHeight w:val="290"/>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 xml:space="preserve">Averarge Actual </w:t>
            </w:r>
          </w:p>
          <w:p w:rsidR="00180C07" w:rsidRDefault="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Avail. (%)</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Generator</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99%</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97%</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97%</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99%</w:t>
            </w:r>
          </w:p>
        </w:tc>
      </w:tr>
      <w:tr w:rsidR="00180C07" w:rsidTr="00DA6508">
        <w:trPr>
          <w:trHeight w:val="156"/>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jc w:val="right"/>
              <w:rPr>
                <w:rFonts w:ascii="Calibri" w:hAnsi="Calibri" w:cs="Calibri"/>
                <w:b/>
                <w:bCs/>
                <w:color w:val="000000"/>
                <w:sz w:val="14"/>
                <w:szCs w:val="14"/>
              </w:rPr>
            </w:pP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Intertie</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95%</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96%</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94%</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78%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99%</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81%</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78%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94%</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100%</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97%</w:t>
            </w:r>
          </w:p>
        </w:tc>
      </w:tr>
      <w:tr w:rsidR="00180C07" w:rsidTr="00DA6508">
        <w:trPr>
          <w:trHeight w:val="290"/>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RA Capacity (MW)</w:t>
            </w:r>
          </w:p>
          <w:p w:rsidR="00180C07" w:rsidRDefault="00180C07">
            <w:pPr>
              <w:autoSpaceDE w:val="0"/>
              <w:autoSpaceDN w:val="0"/>
              <w:adjustRightInd w:val="0"/>
              <w:rPr>
                <w:rFonts w:ascii="Calibri" w:hAnsi="Calibri" w:cs="Calibri"/>
                <w:b/>
                <w:bCs/>
                <w:color w:val="000000"/>
                <w:sz w:val="14"/>
                <w:szCs w:val="14"/>
              </w:rPr>
            </w:pPr>
            <w:r>
              <w:rPr>
                <w:rFonts w:ascii="Calibri" w:hAnsi="Calibri" w:cs="Calibri"/>
                <w:b/>
                <w:bCs/>
                <w:color w:val="000000"/>
                <w:sz w:val="14"/>
                <w:szCs w:val="14"/>
              </w:rPr>
              <w:t>subject to SCP</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Generator</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16,791</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17,395</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18,331</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19,448</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20,996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23,890</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25,703</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27,216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24,976</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21,267</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19,660</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20,587</w:t>
            </w:r>
          </w:p>
        </w:tc>
      </w:tr>
      <w:tr w:rsidR="00180C07" w:rsidTr="00DA6508">
        <w:trPr>
          <w:trHeight w:val="246"/>
        </w:trPr>
        <w:tc>
          <w:tcPr>
            <w:tcW w:w="970" w:type="dxa"/>
            <w:tcBorders>
              <w:top w:val="single" w:sz="6" w:space="0" w:color="auto"/>
              <w:left w:val="single" w:sz="6" w:space="0" w:color="auto"/>
              <w:bottom w:val="single" w:sz="6" w:space="0" w:color="auto"/>
              <w:right w:val="single" w:sz="6" w:space="0" w:color="auto"/>
            </w:tcBorders>
          </w:tcPr>
          <w:p w:rsidR="00180C07" w:rsidRDefault="00180C07">
            <w:pPr>
              <w:autoSpaceDE w:val="0"/>
              <w:autoSpaceDN w:val="0"/>
              <w:adjustRightInd w:val="0"/>
              <w:jc w:val="right"/>
              <w:rPr>
                <w:rFonts w:ascii="Calibri" w:hAnsi="Calibri" w:cs="Calibri"/>
                <w:b/>
                <w:bCs/>
                <w:color w:val="000000"/>
                <w:sz w:val="14"/>
                <w:szCs w:val="14"/>
              </w:rPr>
            </w:pP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Intertie</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407</w:t>
            </w:r>
          </w:p>
        </w:tc>
        <w:tc>
          <w:tcPr>
            <w:tcW w:w="9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432</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464</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174</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804</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515</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925</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1,092</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862</w:t>
            </w:r>
          </w:p>
        </w:tc>
        <w:tc>
          <w:tcPr>
            <w:tcW w:w="81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463</w:t>
            </w:r>
          </w:p>
        </w:tc>
        <w:tc>
          <w:tcPr>
            <w:tcW w:w="80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463</w:t>
            </w:r>
          </w:p>
        </w:tc>
        <w:tc>
          <w:tcPr>
            <w:tcW w:w="720" w:type="dxa"/>
            <w:tcBorders>
              <w:top w:val="single" w:sz="6" w:space="0" w:color="auto"/>
              <w:left w:val="single" w:sz="6" w:space="0" w:color="auto"/>
              <w:bottom w:val="single" w:sz="6" w:space="0" w:color="auto"/>
              <w:right w:val="single" w:sz="6" w:space="0" w:color="auto"/>
            </w:tcBorders>
          </w:tcPr>
          <w:p w:rsidR="00180C07" w:rsidRDefault="00180C07" w:rsidP="00DA6508">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476</w:t>
            </w:r>
          </w:p>
        </w:tc>
      </w:tr>
    </w:tbl>
    <w:p w:rsidR="00B3535E" w:rsidRPr="00B3535E" w:rsidRDefault="00AE7D50" w:rsidP="00B3535E">
      <w:pPr>
        <w:keepNext/>
        <w:keepLines/>
      </w:pPr>
      <w:r w:rsidRPr="00AD151D">
        <w:rPr>
          <w:sz w:val="20"/>
          <w:szCs w:val="20"/>
        </w:rPr>
        <w:t xml:space="preserve"> Source: CAISO 201</w:t>
      </w:r>
      <w:r w:rsidR="003D16C2" w:rsidRPr="00AD151D">
        <w:rPr>
          <w:sz w:val="20"/>
          <w:szCs w:val="20"/>
        </w:rPr>
        <w:t>1</w:t>
      </w:r>
      <w:r w:rsidRPr="00AD151D">
        <w:rPr>
          <w:sz w:val="20"/>
          <w:szCs w:val="20"/>
        </w:rPr>
        <w:t xml:space="preserve"> Standard Capacity Product Report </w:t>
      </w:r>
      <w:r w:rsidR="003D16C2" w:rsidRPr="00AD151D">
        <w:rPr>
          <w:sz w:val="20"/>
          <w:szCs w:val="20"/>
        </w:rPr>
        <w:t>http://www.caiso.com/Documents/2011StandardCapacityProductAnnualReport.pdf</w:t>
      </w:r>
      <w:r w:rsidR="003D16C2" w:rsidRPr="00277DC8">
        <w:fldChar w:fldCharType="begin"/>
      </w:r>
      <w:r w:rsidR="003D16C2" w:rsidRPr="007B209F">
        <w:instrText xml:space="preserve"> REF _Ref288831535 \h  \* MERGEFORMAT </w:instrText>
      </w:r>
      <w:r w:rsidR="003D16C2" w:rsidRPr="00277DC8">
        <w:fldChar w:fldCharType="separate"/>
      </w:r>
    </w:p>
    <w:p w:rsidR="00AD151D" w:rsidRPr="00AD151D" w:rsidRDefault="00B3535E" w:rsidP="00AD151D">
      <w:pPr>
        <w:pStyle w:val="Caption"/>
        <w:widowControl w:val="0"/>
        <w:spacing w:before="120"/>
        <w:ind w:firstLine="720"/>
        <w:rPr>
          <w:b w:val="0"/>
          <w:sz w:val="24"/>
          <w:szCs w:val="24"/>
        </w:rPr>
      </w:pPr>
      <w:r w:rsidRPr="00B3535E">
        <w:rPr>
          <w:b w:val="0"/>
          <w:sz w:val="24"/>
          <w:szCs w:val="24"/>
        </w:rPr>
        <w:t>Figure</w:t>
      </w:r>
      <w:r w:rsidRPr="00B3535E">
        <w:rPr>
          <w:b w:val="0"/>
          <w:noProof/>
          <w:sz w:val="24"/>
          <w:szCs w:val="24"/>
        </w:rPr>
        <w:t xml:space="preserve"> 10</w:t>
      </w:r>
      <w:r w:rsidR="003D16C2" w:rsidRPr="00277DC8">
        <w:rPr>
          <w:b w:val="0"/>
        </w:rPr>
        <w:fldChar w:fldCharType="end"/>
      </w:r>
      <w:r w:rsidR="003D16C2" w:rsidRPr="008F038D">
        <w:rPr>
          <w:b w:val="0"/>
          <w:sz w:val="24"/>
          <w:szCs w:val="24"/>
        </w:rPr>
        <w:t xml:space="preserve"> shows</w:t>
      </w:r>
      <w:r w:rsidR="003D16C2" w:rsidRPr="00AD151D">
        <w:rPr>
          <w:b w:val="0"/>
          <w:sz w:val="24"/>
          <w:szCs w:val="24"/>
        </w:rPr>
        <w:t xml:space="preserve"> the availability standard for January to December 2011 and the average actual availability of both generators and interties over that same time period.  </w:t>
      </w:r>
      <w:r w:rsidR="002A3FD6">
        <w:rPr>
          <w:b w:val="0"/>
          <w:sz w:val="24"/>
          <w:szCs w:val="24"/>
        </w:rPr>
        <w:t xml:space="preserve">For </w:t>
      </w:r>
      <w:r w:rsidR="003D16C2" w:rsidRPr="00AD151D">
        <w:rPr>
          <w:b w:val="0"/>
          <w:sz w:val="24"/>
          <w:szCs w:val="24"/>
        </w:rPr>
        <w:t>Interties</w:t>
      </w:r>
      <w:r w:rsidR="002A3FD6">
        <w:rPr>
          <w:b w:val="0"/>
          <w:sz w:val="24"/>
          <w:szCs w:val="24"/>
        </w:rPr>
        <w:t xml:space="preserve"> 9 out of 12 months</w:t>
      </w:r>
      <w:r w:rsidR="003D16C2" w:rsidRPr="00AD151D">
        <w:rPr>
          <w:b w:val="0"/>
          <w:sz w:val="24"/>
          <w:szCs w:val="24"/>
        </w:rPr>
        <w:t xml:space="preserve"> show a lower average actual availability th</w:t>
      </w:r>
      <w:r w:rsidR="002A3FD6">
        <w:rPr>
          <w:b w:val="0"/>
          <w:sz w:val="24"/>
          <w:szCs w:val="24"/>
        </w:rPr>
        <w:t>a</w:t>
      </w:r>
      <w:r w:rsidR="003D16C2" w:rsidRPr="00AD151D">
        <w:rPr>
          <w:b w:val="0"/>
          <w:sz w:val="24"/>
          <w:szCs w:val="24"/>
        </w:rPr>
        <w:t xml:space="preserve">n the availability standard whereas generators </w:t>
      </w:r>
      <w:r w:rsidR="002A3FD6">
        <w:rPr>
          <w:b w:val="0"/>
          <w:sz w:val="24"/>
          <w:szCs w:val="24"/>
        </w:rPr>
        <w:t xml:space="preserve">for all 12 months </w:t>
      </w:r>
      <w:r w:rsidR="003D16C2" w:rsidRPr="00AD151D">
        <w:rPr>
          <w:b w:val="0"/>
          <w:sz w:val="24"/>
          <w:szCs w:val="24"/>
        </w:rPr>
        <w:t>average actual availability very close to the monthly availability standard, dipping slightly below the availably standard in only one month.</w:t>
      </w:r>
      <w:r w:rsidR="00AE7D50" w:rsidRPr="00AD151D">
        <w:rPr>
          <w:b w:val="0"/>
          <w:sz w:val="24"/>
          <w:szCs w:val="24"/>
        </w:rPr>
        <w:t xml:space="preserve"> </w:t>
      </w:r>
      <w:bookmarkStart w:id="143" w:name="_Ref288831535"/>
    </w:p>
    <w:p w:rsidR="00AE7D50" w:rsidRPr="00AD151D" w:rsidRDefault="00AE7D50" w:rsidP="00BD5E4A">
      <w:pPr>
        <w:pStyle w:val="Caption"/>
        <w:keepNext/>
        <w:keepLines/>
        <w:spacing w:before="120"/>
        <w:rPr>
          <w:b w:val="0"/>
          <w:sz w:val="24"/>
          <w:szCs w:val="24"/>
        </w:rPr>
      </w:pPr>
      <w:bookmarkStart w:id="144" w:name="_Toc347827099"/>
      <w:r w:rsidRPr="00AD151D">
        <w:rPr>
          <w:sz w:val="24"/>
          <w:szCs w:val="24"/>
        </w:rPr>
        <w:lastRenderedPageBreak/>
        <w:t xml:space="preserve">Figure </w:t>
      </w:r>
      <w:r w:rsidRPr="00AD151D">
        <w:rPr>
          <w:sz w:val="24"/>
          <w:szCs w:val="24"/>
        </w:rPr>
        <w:fldChar w:fldCharType="begin"/>
      </w:r>
      <w:r w:rsidRPr="00AD151D">
        <w:rPr>
          <w:sz w:val="24"/>
          <w:szCs w:val="24"/>
        </w:rPr>
        <w:instrText xml:space="preserve"> SEQ Figure \* ARABIC </w:instrText>
      </w:r>
      <w:r w:rsidRPr="00AD151D">
        <w:rPr>
          <w:sz w:val="24"/>
          <w:szCs w:val="24"/>
        </w:rPr>
        <w:fldChar w:fldCharType="separate"/>
      </w:r>
      <w:r w:rsidR="00B3535E">
        <w:rPr>
          <w:noProof/>
          <w:sz w:val="24"/>
          <w:szCs w:val="24"/>
        </w:rPr>
        <w:t>10</w:t>
      </w:r>
      <w:r w:rsidRPr="00AD151D">
        <w:rPr>
          <w:sz w:val="24"/>
          <w:szCs w:val="24"/>
        </w:rPr>
        <w:fldChar w:fldCharType="end"/>
      </w:r>
      <w:bookmarkEnd w:id="138"/>
      <w:bookmarkEnd w:id="143"/>
      <w:r w:rsidRPr="00AD151D">
        <w:rPr>
          <w:sz w:val="24"/>
          <w:szCs w:val="24"/>
        </w:rPr>
        <w:t xml:space="preserve"> </w:t>
      </w:r>
      <w:r w:rsidR="009C3C19">
        <w:rPr>
          <w:sz w:val="24"/>
          <w:szCs w:val="24"/>
        </w:rPr>
        <w:t xml:space="preserve"> </w:t>
      </w:r>
      <w:r w:rsidRPr="00AD151D">
        <w:rPr>
          <w:sz w:val="24"/>
          <w:szCs w:val="24"/>
        </w:rPr>
        <w:t>Average Actual Availability</w:t>
      </w:r>
      <w:r w:rsidR="003D16C2" w:rsidRPr="00AD151D">
        <w:rPr>
          <w:sz w:val="24"/>
          <w:szCs w:val="24"/>
        </w:rPr>
        <w:t xml:space="preserve"> 2011</w:t>
      </w:r>
      <w:bookmarkEnd w:id="144"/>
      <w:r w:rsidRPr="00AD151D">
        <w:rPr>
          <w:sz w:val="24"/>
          <w:szCs w:val="24"/>
        </w:rPr>
        <w:t xml:space="preserve"> </w:t>
      </w:r>
    </w:p>
    <w:p w:rsidR="00AD151D" w:rsidRPr="00AD151D" w:rsidRDefault="00DA6508" w:rsidP="00BD5E4A">
      <w:pPr>
        <w:keepNext/>
        <w:keepLines/>
        <w:spacing w:before="120"/>
      </w:pPr>
      <w:r>
        <w:rPr>
          <w:noProof/>
        </w:rPr>
        <w:drawing>
          <wp:inline distT="0" distB="0" distL="0" distR="0" wp14:anchorId="10CF3BFD">
            <wp:extent cx="5026891" cy="2906973"/>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4440" cy="2917121"/>
                    </a:xfrm>
                    <a:prstGeom prst="rect">
                      <a:avLst/>
                    </a:prstGeom>
                    <a:noFill/>
                  </pic:spPr>
                </pic:pic>
              </a:graphicData>
            </a:graphic>
          </wp:inline>
        </w:drawing>
      </w:r>
    </w:p>
    <w:p w:rsidR="003D16C2" w:rsidRPr="00AD151D" w:rsidRDefault="003D16C2" w:rsidP="00BD5E4A">
      <w:pPr>
        <w:keepNext/>
        <w:keepLines/>
        <w:spacing w:before="120"/>
      </w:pPr>
      <w:r w:rsidRPr="00AD151D">
        <w:rPr>
          <w:sz w:val="20"/>
          <w:szCs w:val="20"/>
        </w:rPr>
        <w:t>Source: CAISO 2011 Standard Capacity Product Report -http://www.caiso.com/Documents/2011StandardCapacityProductAnnualReport.pdf</w:t>
      </w:r>
    </w:p>
    <w:p w:rsidR="00AE7D50" w:rsidRPr="00AD151D" w:rsidRDefault="00AE7D50">
      <w:pPr>
        <w:pStyle w:val="Heading1"/>
        <w:numPr>
          <w:ilvl w:val="0"/>
          <w:numId w:val="18"/>
        </w:numPr>
        <w:spacing w:before="120"/>
      </w:pPr>
      <w:bookmarkStart w:id="145" w:name="_Toc347491643"/>
      <w:bookmarkStart w:id="146" w:name="_Toc258573786"/>
      <w:bookmarkStart w:id="147" w:name="_Toc347827068"/>
      <w:bookmarkEnd w:id="145"/>
      <w:bookmarkEnd w:id="134"/>
      <w:bookmarkEnd w:id="135"/>
      <w:bookmarkEnd w:id="136"/>
      <w:r w:rsidRPr="00AD151D">
        <w:t>Changes to the RA Program for 2011</w:t>
      </w:r>
      <w:bookmarkEnd w:id="146"/>
      <w:bookmarkEnd w:id="147"/>
    </w:p>
    <w:p w:rsidR="00AE7D50" w:rsidRPr="00AD151D" w:rsidRDefault="003546BE">
      <w:pPr>
        <w:autoSpaceDE w:val="0"/>
        <w:autoSpaceDN w:val="0"/>
        <w:adjustRightInd w:val="0"/>
        <w:spacing w:before="120"/>
        <w:ind w:firstLine="432"/>
      </w:pPr>
      <w:r>
        <w:t>T</w:t>
      </w:r>
      <w:r w:rsidR="00AE7D50" w:rsidRPr="00AD151D">
        <w:t>he Commission made minor changes to the NQC counting conventions for intermittent resources.  D.10-06-036 adopted a final QC manual as Appendix B.  The main changes between 2010 compliance year and 2011 compliance year were to harmonize hydro with other intermittent resources, and to add data from weekends and holidays into the data set for all intermittent resources (such as cogeneration, wind, solar, and hydro resources</w:t>
      </w:r>
      <w:bookmarkStart w:id="148" w:name="_Toc224022452"/>
      <w:bookmarkEnd w:id="148"/>
      <w:r w:rsidR="00AE7D50" w:rsidRPr="00AD151D">
        <w:t>).  Hydro resources no longer receive NQC based on a 1 in 5 dry hydro year, but instead receive NQC based on a historical average of performance over the previous three years.</w:t>
      </w:r>
    </w:p>
    <w:p w:rsidR="00AE7D50" w:rsidRDefault="00ED67AB">
      <w:pPr>
        <w:autoSpaceDE w:val="0"/>
        <w:autoSpaceDN w:val="0"/>
        <w:adjustRightInd w:val="0"/>
        <w:spacing w:before="120"/>
        <w:ind w:firstLine="432"/>
      </w:pPr>
      <w:r>
        <w:t>D.</w:t>
      </w:r>
      <w:r w:rsidR="00AE7D50" w:rsidRPr="00AD151D">
        <w:t xml:space="preserve">11-10-023 abolished the preliminary year-ahead filing.  Therefore, beginning in 2011, when LSEs made their 2012 year-ahead showing, LSEs were no longer required to make a preliminary system showing in September.  </w:t>
      </w:r>
    </w:p>
    <w:p w:rsidR="00ED67AB" w:rsidRDefault="00ED67AB">
      <w:pPr>
        <w:autoSpaceDE w:val="0"/>
        <w:autoSpaceDN w:val="0"/>
        <w:adjustRightInd w:val="0"/>
        <w:spacing w:before="120"/>
        <w:ind w:firstLine="432"/>
      </w:pPr>
      <w:r>
        <w:t>That decision also modified the penalty structure of the RA program, creating streamlining penalties for LSEs that remedy deficiencies within five business days.  Instead of penalties based on kw-month charges, the decision created a class of Specified Violation applicable to instances where LSEs remedy deficiencies within five business days as  directed by Energy Division</w:t>
      </w:r>
      <w:r w:rsidR="004B59F2">
        <w:t xml:space="preserve">.  This change </w:t>
      </w:r>
      <w:r>
        <w:t>allow</w:t>
      </w:r>
      <w:r w:rsidR="004B59F2">
        <w:t>ed</w:t>
      </w:r>
      <w:r>
        <w:t xml:space="preserve"> the CPUC to issue </w:t>
      </w:r>
      <w:r w:rsidR="004B59F2">
        <w:t xml:space="preserve">less onerous </w:t>
      </w:r>
      <w:r>
        <w:t>citations to LSEs instead of pursuing OIIs.</w:t>
      </w:r>
    </w:p>
    <w:p w:rsidR="00ED67AB" w:rsidRDefault="00ED67AB">
      <w:pPr>
        <w:autoSpaceDE w:val="0"/>
        <w:autoSpaceDN w:val="0"/>
        <w:adjustRightInd w:val="0"/>
        <w:spacing w:before="120"/>
        <w:ind w:firstLine="432"/>
      </w:pPr>
    </w:p>
    <w:p w:rsidR="00ED67AB" w:rsidRPr="00AD151D" w:rsidRDefault="00ED67AB">
      <w:pPr>
        <w:autoSpaceDE w:val="0"/>
        <w:autoSpaceDN w:val="0"/>
        <w:adjustRightInd w:val="0"/>
        <w:spacing w:before="120"/>
        <w:ind w:firstLine="432"/>
        <w:rPr>
          <w:sz w:val="20"/>
          <w:szCs w:val="20"/>
        </w:rPr>
        <w:sectPr w:rsidR="00ED67AB" w:rsidRPr="00AD151D" w:rsidSect="00A54B87">
          <w:headerReference w:type="default" r:id="rId20"/>
          <w:footerReference w:type="even" r:id="rId21"/>
          <w:footerReference w:type="default" r:id="rId22"/>
          <w:pgSz w:w="12240" w:h="15840"/>
          <w:pgMar w:top="1440" w:right="1800" w:bottom="1440" w:left="1800" w:header="720" w:footer="720" w:gutter="0"/>
          <w:pgNumType w:start="0"/>
          <w:cols w:space="720"/>
          <w:titlePg/>
          <w:docGrid w:linePitch="360"/>
        </w:sectPr>
      </w:pPr>
    </w:p>
    <w:p w:rsidR="00AE7D50" w:rsidRPr="00AD151D" w:rsidRDefault="00AE7D50">
      <w:pPr>
        <w:pStyle w:val="Heading1"/>
        <w:numPr>
          <w:ilvl w:val="0"/>
          <w:numId w:val="18"/>
        </w:numPr>
        <w:spacing w:before="120"/>
        <w:rPr>
          <w:sz w:val="28"/>
          <w:szCs w:val="28"/>
        </w:rPr>
      </w:pPr>
      <w:bookmarkStart w:id="149" w:name="_Toc347827069"/>
      <w:r w:rsidRPr="00AD151D">
        <w:rPr>
          <w:sz w:val="28"/>
          <w:szCs w:val="28"/>
        </w:rPr>
        <w:lastRenderedPageBreak/>
        <w:t xml:space="preserve">Appendix 1 - </w:t>
      </w:r>
      <w:r w:rsidRPr="00AD151D">
        <w:rPr>
          <w:bCs w:val="0"/>
          <w:sz w:val="28"/>
          <w:szCs w:val="28"/>
        </w:rPr>
        <w:t>Total CAISO LSE Procurement as Percentage of Total Obligation</w:t>
      </w:r>
      <w:bookmarkEnd w:id="149"/>
    </w:p>
    <w:p w:rsidR="00AE7D50" w:rsidRPr="00AD151D" w:rsidRDefault="00AE7D50">
      <w:pPr>
        <w:pStyle w:val="Caption"/>
        <w:keepNext/>
        <w:keepLines/>
        <w:spacing w:before="120"/>
        <w:rPr>
          <w:bCs w:val="0"/>
          <w:sz w:val="22"/>
        </w:rPr>
      </w:pPr>
      <w:bookmarkStart w:id="150" w:name="_Ref191732434"/>
      <w:bookmarkStart w:id="151" w:name="_Ref225157697"/>
      <w:bookmarkStart w:id="152" w:name="_Toc347827088"/>
      <w:r w:rsidRPr="00AD151D">
        <w:rPr>
          <w:bCs w:val="0"/>
          <w:sz w:val="22"/>
        </w:rPr>
        <w:t xml:space="preserve">Table </w:t>
      </w:r>
      <w:r w:rsidRPr="00AD151D">
        <w:rPr>
          <w:bCs w:val="0"/>
          <w:sz w:val="22"/>
        </w:rPr>
        <w:fldChar w:fldCharType="begin"/>
      </w:r>
      <w:r w:rsidRPr="00AD151D">
        <w:rPr>
          <w:bCs w:val="0"/>
          <w:sz w:val="22"/>
        </w:rPr>
        <w:instrText xml:space="preserve"> SEQ Table \* ARABIC </w:instrText>
      </w:r>
      <w:r w:rsidRPr="00AD151D">
        <w:rPr>
          <w:bCs w:val="0"/>
          <w:sz w:val="22"/>
        </w:rPr>
        <w:fldChar w:fldCharType="separate"/>
      </w:r>
      <w:r w:rsidR="00B3535E">
        <w:rPr>
          <w:bCs w:val="0"/>
          <w:noProof/>
          <w:sz w:val="22"/>
        </w:rPr>
        <w:t>18</w:t>
      </w:r>
      <w:r w:rsidRPr="00AD151D">
        <w:rPr>
          <w:bCs w:val="0"/>
          <w:sz w:val="22"/>
        </w:rPr>
        <w:fldChar w:fldCharType="end"/>
      </w:r>
      <w:bookmarkEnd w:id="150"/>
      <w:bookmarkEnd w:id="151"/>
      <w:r w:rsidRPr="00AD151D">
        <w:rPr>
          <w:bCs w:val="0"/>
          <w:sz w:val="22"/>
        </w:rPr>
        <w:t>. Total CAISO LSE Procurement as Percentage of Total CAISO Obligation</w:t>
      </w:r>
      <w:bookmarkEnd w:id="152"/>
    </w:p>
    <w:tbl>
      <w:tblPr>
        <w:tblW w:w="13320" w:type="dxa"/>
        <w:tblInd w:w="-162" w:type="dxa"/>
        <w:tblLayout w:type="fixed"/>
        <w:tblLook w:val="0000" w:firstRow="0" w:lastRow="0" w:firstColumn="0" w:lastColumn="0" w:noHBand="0" w:noVBand="0"/>
      </w:tblPr>
      <w:tblGrid>
        <w:gridCol w:w="630"/>
        <w:gridCol w:w="1170"/>
        <w:gridCol w:w="900"/>
        <w:gridCol w:w="1170"/>
        <w:gridCol w:w="1260"/>
        <w:gridCol w:w="900"/>
        <w:gridCol w:w="810"/>
        <w:gridCol w:w="1350"/>
        <w:gridCol w:w="990"/>
        <w:gridCol w:w="983"/>
        <w:gridCol w:w="1447"/>
        <w:gridCol w:w="1710"/>
      </w:tblGrid>
      <w:tr w:rsidR="00EC35C4" w:rsidRPr="00AD151D" w:rsidTr="00277DC8">
        <w:trPr>
          <w:trHeight w:val="971"/>
        </w:trPr>
        <w:tc>
          <w:tcPr>
            <w:tcW w:w="630" w:type="dxa"/>
            <w:tcBorders>
              <w:top w:val="single" w:sz="4" w:space="0" w:color="auto"/>
              <w:left w:val="single" w:sz="4" w:space="0" w:color="auto"/>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2011</w:t>
            </w:r>
          </w:p>
        </w:tc>
        <w:tc>
          <w:tcPr>
            <w:tcW w:w="1170"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Type of LSE</w:t>
            </w:r>
          </w:p>
        </w:tc>
        <w:tc>
          <w:tcPr>
            <w:tcW w:w="900"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Peak Demand Forecast</w:t>
            </w:r>
          </w:p>
        </w:tc>
        <w:tc>
          <w:tcPr>
            <w:tcW w:w="1170"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Forward Commitment Obligation</w:t>
            </w:r>
          </w:p>
        </w:tc>
        <w:tc>
          <w:tcPr>
            <w:tcW w:w="1260"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I. Physical Resources in ISO Control Area</w:t>
            </w:r>
          </w:p>
        </w:tc>
        <w:tc>
          <w:tcPr>
            <w:tcW w:w="900"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II. DWR contracts</w:t>
            </w:r>
          </w:p>
        </w:tc>
        <w:tc>
          <w:tcPr>
            <w:tcW w:w="810"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III. Total Imports</w:t>
            </w:r>
          </w:p>
        </w:tc>
        <w:tc>
          <w:tcPr>
            <w:tcW w:w="1350"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V. Dispatchable DR and Participating Load</w:t>
            </w:r>
          </w:p>
        </w:tc>
        <w:tc>
          <w:tcPr>
            <w:tcW w:w="990"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Liquidated Damages  Contracts</w:t>
            </w:r>
          </w:p>
        </w:tc>
        <w:tc>
          <w:tcPr>
            <w:tcW w:w="983"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CAM/RMR/Other</w:t>
            </w:r>
          </w:p>
        </w:tc>
        <w:tc>
          <w:tcPr>
            <w:tcW w:w="1447"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xml:space="preserve">Total RA Capacity </w:t>
            </w:r>
          </w:p>
        </w:tc>
        <w:tc>
          <w:tcPr>
            <w:tcW w:w="1710" w:type="dxa"/>
            <w:tcBorders>
              <w:top w:val="single" w:sz="4" w:space="0" w:color="auto"/>
              <w:left w:val="nil"/>
              <w:bottom w:val="single" w:sz="4" w:space="0" w:color="auto"/>
              <w:right w:val="single" w:sz="4" w:space="0" w:color="auto"/>
            </w:tcBorders>
            <w:shd w:val="clear" w:color="000000" w:fill="FFFF99"/>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RA Capacity as a Percentage of Obligation</w:t>
            </w:r>
          </w:p>
        </w:tc>
      </w:tr>
      <w:tr w:rsidR="00504F18" w:rsidRPr="00AD151D" w:rsidTr="00504F18">
        <w:trPr>
          <w:trHeight w:val="341"/>
        </w:trPr>
        <w:tc>
          <w:tcPr>
            <w:tcW w:w="630" w:type="dxa"/>
            <w:vMerge w:val="restart"/>
            <w:tcBorders>
              <w:top w:val="nil"/>
              <w:left w:val="single" w:sz="4" w:space="0" w:color="auto"/>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May-11</w:t>
            </w: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CPUC LSEs</w:t>
            </w:r>
          </w:p>
        </w:tc>
        <w:tc>
          <w:tcPr>
            <w:tcW w:w="90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34</w:t>
            </w:r>
            <w:r w:rsidR="004A2ECB">
              <w:rPr>
                <w:rFonts w:ascii="Arial Narrow" w:hAnsi="Arial Narrow"/>
                <w:sz w:val="18"/>
                <w:szCs w:val="18"/>
              </w:rPr>
              <w:t>,</w:t>
            </w:r>
            <w:r w:rsidRPr="00AD151D">
              <w:rPr>
                <w:rFonts w:ascii="Arial Narrow" w:hAnsi="Arial Narrow"/>
                <w:sz w:val="18"/>
                <w:szCs w:val="18"/>
              </w:rPr>
              <w:t>397</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39</w:t>
            </w:r>
            <w:r w:rsidR="004A2ECB">
              <w:rPr>
                <w:rFonts w:ascii="Arial Narrow" w:hAnsi="Arial Narrow"/>
                <w:sz w:val="18"/>
                <w:szCs w:val="18"/>
              </w:rPr>
              <w:t>,</w:t>
            </w:r>
            <w:r w:rsidRPr="00AD151D">
              <w:rPr>
                <w:rFonts w:ascii="Arial Narrow" w:hAnsi="Arial Narrow"/>
                <w:sz w:val="18"/>
                <w:szCs w:val="18"/>
              </w:rPr>
              <w:t>556</w:t>
            </w:r>
          </w:p>
        </w:tc>
        <w:tc>
          <w:tcPr>
            <w:tcW w:w="126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33,804</w:t>
            </w:r>
          </w:p>
        </w:tc>
        <w:tc>
          <w:tcPr>
            <w:tcW w:w="90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1,098</w:t>
            </w:r>
          </w:p>
        </w:tc>
        <w:tc>
          <w:tcPr>
            <w:tcW w:w="81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2,674</w:t>
            </w:r>
          </w:p>
        </w:tc>
        <w:tc>
          <w:tcPr>
            <w:tcW w:w="135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w:t>
            </w:r>
            <w:r w:rsidR="004A2ECB">
              <w:rPr>
                <w:rFonts w:ascii="Arial Narrow" w:hAnsi="Arial Narrow"/>
                <w:sz w:val="18"/>
                <w:szCs w:val="18"/>
              </w:rPr>
              <w:t>,</w:t>
            </w:r>
            <w:r w:rsidRPr="00AD151D">
              <w:rPr>
                <w:rFonts w:ascii="Arial Narrow" w:hAnsi="Arial Narrow"/>
                <w:sz w:val="18"/>
                <w:szCs w:val="18"/>
              </w:rPr>
              <w:t>740</w:t>
            </w:r>
          </w:p>
        </w:tc>
        <w:tc>
          <w:tcPr>
            <w:tcW w:w="99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983"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w:t>
            </w:r>
            <w:r w:rsidR="004A2ECB">
              <w:rPr>
                <w:rFonts w:ascii="Arial Narrow" w:hAnsi="Arial Narrow"/>
                <w:sz w:val="18"/>
                <w:szCs w:val="18"/>
              </w:rPr>
              <w:t>,</w:t>
            </w:r>
            <w:r w:rsidRPr="00AD151D">
              <w:rPr>
                <w:rFonts w:ascii="Arial Narrow" w:hAnsi="Arial Narrow"/>
                <w:sz w:val="18"/>
                <w:szCs w:val="18"/>
              </w:rPr>
              <w:t>085</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40</w:t>
            </w:r>
            <w:r w:rsidR="004A2ECB">
              <w:rPr>
                <w:rFonts w:ascii="Arial Narrow" w:hAnsi="Arial Narrow"/>
                <w:sz w:val="18"/>
                <w:szCs w:val="18"/>
              </w:rPr>
              <w:t>,</w:t>
            </w:r>
            <w:r w:rsidRPr="00AD151D">
              <w:rPr>
                <w:rFonts w:ascii="Arial Narrow" w:hAnsi="Arial Narrow"/>
                <w:sz w:val="18"/>
                <w:szCs w:val="18"/>
              </w:rPr>
              <w:t>663</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103%</w:t>
            </w:r>
          </w:p>
        </w:tc>
      </w:tr>
      <w:tr w:rsidR="00EC35C4" w:rsidRPr="00AD151D" w:rsidTr="00277DC8">
        <w:trPr>
          <w:trHeight w:val="449"/>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Non-CPUC LSEs</w:t>
            </w:r>
          </w:p>
        </w:tc>
        <w:tc>
          <w:tcPr>
            <w:tcW w:w="90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037</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463</w:t>
            </w:r>
          </w:p>
        </w:tc>
        <w:tc>
          <w:tcPr>
            <w:tcW w:w="126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w:t>
            </w:r>
            <w:r w:rsidR="004A2ECB">
              <w:rPr>
                <w:rFonts w:ascii="Arial Narrow" w:hAnsi="Arial Narrow"/>
                <w:sz w:val="18"/>
                <w:szCs w:val="18"/>
              </w:rPr>
              <w:t>,</w:t>
            </w:r>
            <w:r w:rsidRPr="00AD151D">
              <w:rPr>
                <w:rFonts w:ascii="Arial Narrow" w:hAnsi="Arial Narrow"/>
                <w:sz w:val="18"/>
                <w:szCs w:val="18"/>
              </w:rPr>
              <w:t>758</w:t>
            </w:r>
          </w:p>
        </w:tc>
        <w:tc>
          <w:tcPr>
            <w:tcW w:w="90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 </w:t>
            </w:r>
          </w:p>
        </w:tc>
        <w:tc>
          <w:tcPr>
            <w:tcW w:w="81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886</w:t>
            </w:r>
          </w:p>
        </w:tc>
        <w:tc>
          <w:tcPr>
            <w:tcW w:w="135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364</w:t>
            </w:r>
          </w:p>
        </w:tc>
        <w:tc>
          <w:tcPr>
            <w:tcW w:w="99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527</w:t>
            </w:r>
          </w:p>
        </w:tc>
        <w:tc>
          <w:tcPr>
            <w:tcW w:w="983"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589</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104%</w:t>
            </w:r>
          </w:p>
        </w:tc>
      </w:tr>
      <w:tr w:rsidR="00EC35C4" w:rsidRPr="00AD151D" w:rsidTr="00277DC8">
        <w:trPr>
          <w:trHeight w:val="78"/>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Total RA capacity</w:t>
            </w:r>
          </w:p>
        </w:tc>
        <w:tc>
          <w:tcPr>
            <w:tcW w:w="90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37</w:t>
            </w:r>
            <w:r w:rsidR="004A2ECB">
              <w:rPr>
                <w:rFonts w:ascii="Arial Narrow" w:hAnsi="Arial Narrow"/>
                <w:b/>
                <w:bCs/>
                <w:sz w:val="18"/>
                <w:szCs w:val="18"/>
              </w:rPr>
              <w:t>,</w:t>
            </w:r>
            <w:r w:rsidRPr="00AD151D">
              <w:rPr>
                <w:rFonts w:ascii="Arial Narrow" w:hAnsi="Arial Narrow"/>
                <w:b/>
                <w:bCs/>
                <w:sz w:val="18"/>
                <w:szCs w:val="18"/>
              </w:rPr>
              <w:t>434</w:t>
            </w:r>
          </w:p>
        </w:tc>
        <w:tc>
          <w:tcPr>
            <w:tcW w:w="117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43</w:t>
            </w:r>
            <w:r w:rsidR="004A2ECB">
              <w:rPr>
                <w:rFonts w:ascii="Arial Narrow" w:hAnsi="Arial Narrow"/>
                <w:b/>
                <w:bCs/>
                <w:sz w:val="18"/>
                <w:szCs w:val="18"/>
              </w:rPr>
              <w:t>,</w:t>
            </w:r>
            <w:r w:rsidRPr="00AD151D">
              <w:rPr>
                <w:rFonts w:ascii="Arial Narrow" w:hAnsi="Arial Narrow"/>
                <w:b/>
                <w:bCs/>
                <w:sz w:val="18"/>
                <w:szCs w:val="18"/>
              </w:rPr>
              <w:t>019</w:t>
            </w:r>
          </w:p>
        </w:tc>
        <w:tc>
          <w:tcPr>
            <w:tcW w:w="126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35</w:t>
            </w:r>
            <w:r w:rsidR="004A2ECB">
              <w:rPr>
                <w:rFonts w:ascii="Arial Narrow" w:hAnsi="Arial Narrow"/>
                <w:b/>
                <w:bCs/>
                <w:sz w:val="18"/>
                <w:szCs w:val="18"/>
              </w:rPr>
              <w:t>,</w:t>
            </w:r>
            <w:r w:rsidRPr="00AD151D">
              <w:rPr>
                <w:rFonts w:ascii="Arial Narrow" w:hAnsi="Arial Narrow"/>
                <w:b/>
                <w:bCs/>
                <w:sz w:val="18"/>
                <w:szCs w:val="18"/>
              </w:rPr>
              <w:t>562</w:t>
            </w:r>
          </w:p>
        </w:tc>
        <w:tc>
          <w:tcPr>
            <w:tcW w:w="90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r w:rsidR="004A2ECB">
              <w:rPr>
                <w:rFonts w:ascii="Arial Narrow" w:hAnsi="Arial Narrow"/>
                <w:b/>
                <w:bCs/>
                <w:sz w:val="18"/>
                <w:szCs w:val="18"/>
              </w:rPr>
              <w:t>,</w:t>
            </w:r>
            <w:r w:rsidRPr="00AD151D">
              <w:rPr>
                <w:rFonts w:ascii="Arial Narrow" w:hAnsi="Arial Narrow"/>
                <w:b/>
                <w:bCs/>
                <w:sz w:val="18"/>
                <w:szCs w:val="18"/>
              </w:rPr>
              <w:t>098</w:t>
            </w:r>
          </w:p>
        </w:tc>
        <w:tc>
          <w:tcPr>
            <w:tcW w:w="81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3</w:t>
            </w:r>
            <w:r w:rsidR="004A2ECB">
              <w:rPr>
                <w:rFonts w:ascii="Arial Narrow" w:hAnsi="Arial Narrow"/>
                <w:b/>
                <w:bCs/>
                <w:sz w:val="18"/>
                <w:szCs w:val="18"/>
              </w:rPr>
              <w:t>,</w:t>
            </w:r>
            <w:r w:rsidRPr="00AD151D">
              <w:rPr>
                <w:rFonts w:ascii="Arial Narrow" w:hAnsi="Arial Narrow"/>
                <w:b/>
                <w:bCs/>
                <w:sz w:val="18"/>
                <w:szCs w:val="18"/>
              </w:rPr>
              <w:t>560</w:t>
            </w:r>
          </w:p>
        </w:tc>
        <w:tc>
          <w:tcPr>
            <w:tcW w:w="135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r w:rsidR="004A2ECB">
              <w:rPr>
                <w:rFonts w:ascii="Arial Narrow" w:hAnsi="Arial Narrow"/>
                <w:b/>
                <w:bCs/>
                <w:sz w:val="18"/>
                <w:szCs w:val="18"/>
              </w:rPr>
              <w:t>,</w:t>
            </w:r>
            <w:r w:rsidRPr="00AD151D">
              <w:rPr>
                <w:rFonts w:ascii="Arial Narrow" w:hAnsi="Arial Narrow"/>
                <w:b/>
                <w:bCs/>
                <w:sz w:val="18"/>
                <w:szCs w:val="18"/>
              </w:rPr>
              <w:t>104</w:t>
            </w:r>
          </w:p>
        </w:tc>
        <w:tc>
          <w:tcPr>
            <w:tcW w:w="99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527</w:t>
            </w:r>
          </w:p>
        </w:tc>
        <w:tc>
          <w:tcPr>
            <w:tcW w:w="983"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r w:rsidR="004A2ECB">
              <w:rPr>
                <w:rFonts w:ascii="Arial Narrow" w:hAnsi="Arial Narrow"/>
                <w:b/>
                <w:bCs/>
                <w:sz w:val="18"/>
                <w:szCs w:val="18"/>
              </w:rPr>
              <w:t>,</w:t>
            </w:r>
            <w:r w:rsidRPr="00AD151D">
              <w:rPr>
                <w:rFonts w:ascii="Arial Narrow" w:hAnsi="Arial Narrow"/>
                <w:b/>
                <w:bCs/>
                <w:sz w:val="18"/>
                <w:szCs w:val="18"/>
              </w:rPr>
              <w:t>085</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44</w:t>
            </w:r>
            <w:r w:rsidR="004A2ECB">
              <w:rPr>
                <w:rFonts w:ascii="Arial Narrow" w:hAnsi="Arial Narrow"/>
                <w:sz w:val="18"/>
                <w:szCs w:val="18"/>
              </w:rPr>
              <w:t>,</w:t>
            </w:r>
            <w:r w:rsidRPr="00AD151D">
              <w:rPr>
                <w:rFonts w:ascii="Arial Narrow" w:hAnsi="Arial Narrow"/>
                <w:sz w:val="18"/>
                <w:szCs w:val="18"/>
              </w:rPr>
              <w:t>252</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103%</w:t>
            </w:r>
          </w:p>
        </w:tc>
      </w:tr>
      <w:tr w:rsidR="00EC35C4" w:rsidRPr="00AD151D" w:rsidTr="00277DC8">
        <w:trPr>
          <w:trHeight w:val="162"/>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8" w:space="0" w:color="auto"/>
              <w:right w:val="single" w:sz="4" w:space="0" w:color="auto"/>
            </w:tcBorders>
            <w:noWrap/>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 of Capacity</w:t>
            </w:r>
          </w:p>
        </w:tc>
        <w:tc>
          <w:tcPr>
            <w:tcW w:w="90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17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26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80%</w:t>
            </w:r>
          </w:p>
        </w:tc>
        <w:tc>
          <w:tcPr>
            <w:tcW w:w="90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p>
        </w:tc>
        <w:tc>
          <w:tcPr>
            <w:tcW w:w="8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8%</w:t>
            </w:r>
          </w:p>
        </w:tc>
        <w:tc>
          <w:tcPr>
            <w:tcW w:w="135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w:t>
            </w:r>
          </w:p>
        </w:tc>
        <w:tc>
          <w:tcPr>
            <w:tcW w:w="99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p>
        </w:tc>
        <w:tc>
          <w:tcPr>
            <w:tcW w:w="983"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p>
        </w:tc>
        <w:tc>
          <w:tcPr>
            <w:tcW w:w="1447"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100%</w:t>
            </w:r>
          </w:p>
        </w:tc>
        <w:tc>
          <w:tcPr>
            <w:tcW w:w="17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r>
      <w:tr w:rsidR="00EC35C4" w:rsidRPr="00AD151D" w:rsidTr="00277DC8">
        <w:trPr>
          <w:trHeight w:val="78"/>
        </w:trPr>
        <w:tc>
          <w:tcPr>
            <w:tcW w:w="630" w:type="dxa"/>
            <w:vMerge w:val="restart"/>
            <w:tcBorders>
              <w:top w:val="nil"/>
              <w:left w:val="single" w:sz="4" w:space="0" w:color="auto"/>
              <w:bottom w:val="single" w:sz="4" w:space="0" w:color="000000"/>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Jun-11</w:t>
            </w:r>
          </w:p>
        </w:tc>
        <w:tc>
          <w:tcPr>
            <w:tcW w:w="1170" w:type="dxa"/>
            <w:tcBorders>
              <w:top w:val="single" w:sz="4" w:space="0" w:color="auto"/>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CPUC LSEs</w:t>
            </w:r>
          </w:p>
        </w:tc>
        <w:tc>
          <w:tcPr>
            <w:tcW w:w="900"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39</w:t>
            </w:r>
            <w:r w:rsidR="004A2ECB">
              <w:rPr>
                <w:rFonts w:ascii="Arial Narrow" w:hAnsi="Arial Narrow"/>
                <w:sz w:val="18"/>
                <w:szCs w:val="18"/>
              </w:rPr>
              <w:t>,</w:t>
            </w:r>
            <w:r w:rsidRPr="00AD151D">
              <w:rPr>
                <w:rFonts w:ascii="Arial Narrow" w:hAnsi="Arial Narrow"/>
                <w:sz w:val="18"/>
                <w:szCs w:val="18"/>
              </w:rPr>
              <w:t>100</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44</w:t>
            </w:r>
            <w:r w:rsidR="004A2ECB">
              <w:rPr>
                <w:rFonts w:ascii="Arial Narrow" w:hAnsi="Arial Narrow"/>
                <w:sz w:val="18"/>
                <w:szCs w:val="18"/>
              </w:rPr>
              <w:t>,</w:t>
            </w:r>
            <w:r w:rsidRPr="00AD151D">
              <w:rPr>
                <w:rFonts w:ascii="Arial Narrow" w:hAnsi="Arial Narrow"/>
                <w:sz w:val="18"/>
                <w:szCs w:val="18"/>
              </w:rPr>
              <w:t>965</w:t>
            </w:r>
          </w:p>
        </w:tc>
        <w:tc>
          <w:tcPr>
            <w:tcW w:w="1260"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38,068</w:t>
            </w:r>
          </w:p>
        </w:tc>
        <w:tc>
          <w:tcPr>
            <w:tcW w:w="900"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1,735</w:t>
            </w:r>
          </w:p>
        </w:tc>
        <w:tc>
          <w:tcPr>
            <w:tcW w:w="810"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2,830</w:t>
            </w:r>
          </w:p>
        </w:tc>
        <w:tc>
          <w:tcPr>
            <w:tcW w:w="1350"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w:t>
            </w:r>
            <w:r w:rsidR="004A2ECB">
              <w:rPr>
                <w:rFonts w:ascii="Arial Narrow" w:hAnsi="Arial Narrow"/>
                <w:sz w:val="18"/>
                <w:szCs w:val="18"/>
              </w:rPr>
              <w:t>,</w:t>
            </w:r>
            <w:r w:rsidRPr="00AD151D">
              <w:rPr>
                <w:rFonts w:ascii="Arial Narrow" w:hAnsi="Arial Narrow"/>
                <w:sz w:val="18"/>
                <w:szCs w:val="18"/>
              </w:rPr>
              <w:t>337</w:t>
            </w:r>
          </w:p>
        </w:tc>
        <w:tc>
          <w:tcPr>
            <w:tcW w:w="990"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983"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w:t>
            </w:r>
            <w:r w:rsidR="004A2ECB">
              <w:rPr>
                <w:rFonts w:ascii="Arial Narrow" w:hAnsi="Arial Narrow"/>
                <w:sz w:val="18"/>
                <w:szCs w:val="18"/>
              </w:rPr>
              <w:t>,</w:t>
            </w:r>
            <w:r w:rsidRPr="00AD151D">
              <w:rPr>
                <w:rFonts w:ascii="Arial Narrow" w:hAnsi="Arial Narrow"/>
                <w:sz w:val="18"/>
                <w:szCs w:val="18"/>
              </w:rPr>
              <w:t>085</w:t>
            </w:r>
          </w:p>
        </w:tc>
        <w:tc>
          <w:tcPr>
            <w:tcW w:w="1447" w:type="dxa"/>
            <w:tcBorders>
              <w:top w:val="single" w:sz="4" w:space="0" w:color="auto"/>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46</w:t>
            </w:r>
            <w:r w:rsidR="004A2ECB">
              <w:rPr>
                <w:rFonts w:ascii="Arial Narrow" w:hAnsi="Arial Narrow"/>
                <w:sz w:val="18"/>
                <w:szCs w:val="18"/>
              </w:rPr>
              <w:t>,</w:t>
            </w:r>
            <w:r w:rsidRPr="00AD151D">
              <w:rPr>
                <w:rFonts w:ascii="Arial Narrow" w:hAnsi="Arial Narrow"/>
                <w:sz w:val="18"/>
                <w:szCs w:val="18"/>
              </w:rPr>
              <w:t>406</w:t>
            </w:r>
          </w:p>
        </w:tc>
        <w:tc>
          <w:tcPr>
            <w:tcW w:w="1710" w:type="dxa"/>
            <w:tcBorders>
              <w:top w:val="single" w:sz="4" w:space="0" w:color="auto"/>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103%</w:t>
            </w:r>
          </w:p>
        </w:tc>
      </w:tr>
      <w:tr w:rsidR="00EC35C4" w:rsidRPr="00AD151D" w:rsidTr="00277DC8">
        <w:trPr>
          <w:trHeight w:val="78"/>
        </w:trPr>
        <w:tc>
          <w:tcPr>
            <w:tcW w:w="630" w:type="dxa"/>
            <w:vMerge/>
            <w:tcBorders>
              <w:top w:val="nil"/>
              <w:left w:val="single" w:sz="4" w:space="0" w:color="auto"/>
              <w:bottom w:val="single" w:sz="4" w:space="0" w:color="000000"/>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Non-CPUC LSEs</w:t>
            </w:r>
          </w:p>
        </w:tc>
        <w:tc>
          <w:tcPr>
            <w:tcW w:w="90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214</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678</w:t>
            </w:r>
          </w:p>
        </w:tc>
        <w:tc>
          <w:tcPr>
            <w:tcW w:w="126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w:t>
            </w:r>
            <w:r w:rsidR="004A2ECB">
              <w:rPr>
                <w:rFonts w:ascii="Arial Narrow" w:hAnsi="Arial Narrow"/>
                <w:sz w:val="18"/>
                <w:szCs w:val="18"/>
              </w:rPr>
              <w:t>,</w:t>
            </w:r>
            <w:r w:rsidRPr="00AD151D">
              <w:rPr>
                <w:rFonts w:ascii="Arial Narrow" w:hAnsi="Arial Narrow"/>
                <w:sz w:val="18"/>
                <w:szCs w:val="18"/>
              </w:rPr>
              <w:t>200</w:t>
            </w:r>
          </w:p>
        </w:tc>
        <w:tc>
          <w:tcPr>
            <w:tcW w:w="90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 </w:t>
            </w:r>
          </w:p>
        </w:tc>
        <w:tc>
          <w:tcPr>
            <w:tcW w:w="81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966</w:t>
            </w:r>
          </w:p>
        </w:tc>
        <w:tc>
          <w:tcPr>
            <w:tcW w:w="135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136</w:t>
            </w:r>
          </w:p>
        </w:tc>
        <w:tc>
          <w:tcPr>
            <w:tcW w:w="99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526</w:t>
            </w:r>
          </w:p>
        </w:tc>
        <w:tc>
          <w:tcPr>
            <w:tcW w:w="983"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849</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105%</w:t>
            </w:r>
          </w:p>
        </w:tc>
      </w:tr>
      <w:tr w:rsidR="00EC35C4" w:rsidRPr="00AD151D" w:rsidTr="00277DC8">
        <w:trPr>
          <w:trHeight w:val="78"/>
        </w:trPr>
        <w:tc>
          <w:tcPr>
            <w:tcW w:w="630" w:type="dxa"/>
            <w:vMerge/>
            <w:tcBorders>
              <w:top w:val="nil"/>
              <w:left w:val="single" w:sz="4" w:space="0" w:color="auto"/>
              <w:bottom w:val="single" w:sz="4" w:space="0" w:color="000000"/>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Total RA capacity</w:t>
            </w:r>
          </w:p>
        </w:tc>
        <w:tc>
          <w:tcPr>
            <w:tcW w:w="90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42</w:t>
            </w:r>
            <w:r w:rsidR="004A2ECB">
              <w:rPr>
                <w:rFonts w:ascii="Arial Narrow" w:hAnsi="Arial Narrow"/>
                <w:b/>
                <w:bCs/>
                <w:sz w:val="18"/>
                <w:szCs w:val="18"/>
              </w:rPr>
              <w:t>,</w:t>
            </w:r>
            <w:r w:rsidRPr="00AD151D">
              <w:rPr>
                <w:rFonts w:ascii="Arial Narrow" w:hAnsi="Arial Narrow"/>
                <w:b/>
                <w:bCs/>
                <w:sz w:val="18"/>
                <w:szCs w:val="18"/>
              </w:rPr>
              <w:t>314</w:t>
            </w:r>
          </w:p>
        </w:tc>
        <w:tc>
          <w:tcPr>
            <w:tcW w:w="117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48</w:t>
            </w:r>
            <w:r w:rsidR="004A2ECB">
              <w:rPr>
                <w:rFonts w:ascii="Arial Narrow" w:hAnsi="Arial Narrow"/>
                <w:b/>
                <w:bCs/>
                <w:sz w:val="18"/>
                <w:szCs w:val="18"/>
              </w:rPr>
              <w:t>,</w:t>
            </w:r>
            <w:r w:rsidRPr="00AD151D">
              <w:rPr>
                <w:rFonts w:ascii="Arial Narrow" w:hAnsi="Arial Narrow"/>
                <w:b/>
                <w:bCs/>
                <w:sz w:val="18"/>
                <w:szCs w:val="18"/>
              </w:rPr>
              <w:t>643</w:t>
            </w:r>
          </w:p>
        </w:tc>
        <w:tc>
          <w:tcPr>
            <w:tcW w:w="126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40</w:t>
            </w:r>
            <w:r w:rsidR="004A2ECB">
              <w:rPr>
                <w:rFonts w:ascii="Arial Narrow" w:hAnsi="Arial Narrow"/>
                <w:b/>
                <w:bCs/>
                <w:sz w:val="18"/>
                <w:szCs w:val="18"/>
              </w:rPr>
              <w:t>,</w:t>
            </w:r>
            <w:r w:rsidRPr="00AD151D">
              <w:rPr>
                <w:rFonts w:ascii="Arial Narrow" w:hAnsi="Arial Narrow"/>
                <w:b/>
                <w:bCs/>
                <w:sz w:val="18"/>
                <w:szCs w:val="18"/>
              </w:rPr>
              <w:t>268</w:t>
            </w:r>
          </w:p>
        </w:tc>
        <w:tc>
          <w:tcPr>
            <w:tcW w:w="90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r w:rsidR="004A2ECB">
              <w:rPr>
                <w:rFonts w:ascii="Arial Narrow" w:hAnsi="Arial Narrow"/>
                <w:b/>
                <w:bCs/>
                <w:sz w:val="18"/>
                <w:szCs w:val="18"/>
              </w:rPr>
              <w:t>,</w:t>
            </w:r>
            <w:r w:rsidRPr="00AD151D">
              <w:rPr>
                <w:rFonts w:ascii="Arial Narrow" w:hAnsi="Arial Narrow"/>
                <w:b/>
                <w:bCs/>
                <w:sz w:val="18"/>
                <w:szCs w:val="18"/>
              </w:rPr>
              <w:t>735</w:t>
            </w:r>
          </w:p>
        </w:tc>
        <w:tc>
          <w:tcPr>
            <w:tcW w:w="81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3</w:t>
            </w:r>
            <w:r w:rsidR="004A2ECB">
              <w:rPr>
                <w:rFonts w:ascii="Arial Narrow" w:hAnsi="Arial Narrow"/>
                <w:b/>
                <w:bCs/>
                <w:sz w:val="18"/>
                <w:szCs w:val="18"/>
              </w:rPr>
              <w:t>,</w:t>
            </w:r>
            <w:r w:rsidRPr="00AD151D">
              <w:rPr>
                <w:rFonts w:ascii="Arial Narrow" w:hAnsi="Arial Narrow"/>
                <w:b/>
                <w:bCs/>
                <w:sz w:val="18"/>
                <w:szCs w:val="18"/>
              </w:rPr>
              <w:t>796</w:t>
            </w:r>
          </w:p>
        </w:tc>
        <w:tc>
          <w:tcPr>
            <w:tcW w:w="135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r w:rsidR="004A2ECB">
              <w:rPr>
                <w:rFonts w:ascii="Arial Narrow" w:hAnsi="Arial Narrow"/>
                <w:b/>
                <w:bCs/>
                <w:sz w:val="18"/>
                <w:szCs w:val="18"/>
              </w:rPr>
              <w:t>,</w:t>
            </w:r>
            <w:r w:rsidRPr="00AD151D">
              <w:rPr>
                <w:rFonts w:ascii="Arial Narrow" w:hAnsi="Arial Narrow"/>
                <w:b/>
                <w:bCs/>
                <w:sz w:val="18"/>
                <w:szCs w:val="18"/>
              </w:rPr>
              <w:t>473</w:t>
            </w:r>
          </w:p>
        </w:tc>
        <w:tc>
          <w:tcPr>
            <w:tcW w:w="99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526</w:t>
            </w:r>
          </w:p>
        </w:tc>
        <w:tc>
          <w:tcPr>
            <w:tcW w:w="983"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r w:rsidR="004A2ECB">
              <w:rPr>
                <w:rFonts w:ascii="Arial Narrow" w:hAnsi="Arial Narrow"/>
                <w:b/>
                <w:bCs/>
                <w:sz w:val="18"/>
                <w:szCs w:val="18"/>
              </w:rPr>
              <w:t>,</w:t>
            </w:r>
            <w:r w:rsidRPr="00AD151D">
              <w:rPr>
                <w:rFonts w:ascii="Arial Narrow" w:hAnsi="Arial Narrow"/>
                <w:b/>
                <w:bCs/>
                <w:sz w:val="18"/>
                <w:szCs w:val="18"/>
              </w:rPr>
              <w:t>085</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50</w:t>
            </w:r>
            <w:r w:rsidR="004A2ECB">
              <w:rPr>
                <w:rFonts w:ascii="Arial Narrow" w:hAnsi="Arial Narrow"/>
                <w:sz w:val="18"/>
                <w:szCs w:val="18"/>
              </w:rPr>
              <w:t>,</w:t>
            </w:r>
            <w:r w:rsidRPr="00AD151D">
              <w:rPr>
                <w:rFonts w:ascii="Arial Narrow" w:hAnsi="Arial Narrow"/>
                <w:sz w:val="18"/>
                <w:szCs w:val="18"/>
              </w:rPr>
              <w:t>254</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103%</w:t>
            </w:r>
          </w:p>
        </w:tc>
      </w:tr>
      <w:tr w:rsidR="00EC35C4" w:rsidRPr="00AD151D" w:rsidTr="00277DC8">
        <w:trPr>
          <w:trHeight w:val="162"/>
        </w:trPr>
        <w:tc>
          <w:tcPr>
            <w:tcW w:w="630" w:type="dxa"/>
            <w:vMerge/>
            <w:tcBorders>
              <w:top w:val="nil"/>
              <w:left w:val="single" w:sz="4" w:space="0" w:color="auto"/>
              <w:bottom w:val="single" w:sz="4" w:space="0" w:color="000000"/>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8" w:space="0" w:color="auto"/>
              <w:right w:val="single" w:sz="4" w:space="0" w:color="auto"/>
            </w:tcBorders>
            <w:noWrap/>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 of Capacity</w:t>
            </w:r>
          </w:p>
        </w:tc>
        <w:tc>
          <w:tcPr>
            <w:tcW w:w="90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17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26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80%</w:t>
            </w:r>
          </w:p>
        </w:tc>
        <w:tc>
          <w:tcPr>
            <w:tcW w:w="90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3%</w:t>
            </w:r>
          </w:p>
        </w:tc>
        <w:tc>
          <w:tcPr>
            <w:tcW w:w="8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8%</w:t>
            </w:r>
          </w:p>
        </w:tc>
        <w:tc>
          <w:tcPr>
            <w:tcW w:w="135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w:t>
            </w:r>
          </w:p>
        </w:tc>
        <w:tc>
          <w:tcPr>
            <w:tcW w:w="99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p>
        </w:tc>
        <w:tc>
          <w:tcPr>
            <w:tcW w:w="983"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p>
        </w:tc>
        <w:tc>
          <w:tcPr>
            <w:tcW w:w="1447"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100%</w:t>
            </w:r>
          </w:p>
        </w:tc>
        <w:tc>
          <w:tcPr>
            <w:tcW w:w="17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r>
      <w:tr w:rsidR="00EC35C4" w:rsidRPr="00AD151D" w:rsidTr="00277DC8">
        <w:trPr>
          <w:trHeight w:val="78"/>
        </w:trPr>
        <w:tc>
          <w:tcPr>
            <w:tcW w:w="630" w:type="dxa"/>
            <w:vMerge w:val="restart"/>
            <w:tcBorders>
              <w:top w:val="nil"/>
              <w:left w:val="single" w:sz="4" w:space="0" w:color="auto"/>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Jul-11</w:t>
            </w: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CPUC LSEs</w:t>
            </w:r>
          </w:p>
        </w:tc>
        <w:tc>
          <w:tcPr>
            <w:tcW w:w="90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43</w:t>
            </w:r>
            <w:r w:rsidR="004A2ECB">
              <w:rPr>
                <w:rFonts w:ascii="Arial Narrow" w:hAnsi="Arial Narrow"/>
                <w:sz w:val="18"/>
                <w:szCs w:val="18"/>
              </w:rPr>
              <w:t>,</w:t>
            </w:r>
            <w:r w:rsidRPr="00AD151D">
              <w:rPr>
                <w:rFonts w:ascii="Arial Narrow" w:hAnsi="Arial Narrow"/>
                <w:sz w:val="18"/>
                <w:szCs w:val="18"/>
              </w:rPr>
              <w:t>567</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50</w:t>
            </w:r>
            <w:r w:rsidR="004A2ECB">
              <w:rPr>
                <w:rFonts w:ascii="Arial Narrow" w:hAnsi="Arial Narrow"/>
                <w:sz w:val="18"/>
                <w:szCs w:val="18"/>
              </w:rPr>
              <w:t>,</w:t>
            </w:r>
            <w:r w:rsidRPr="00AD151D">
              <w:rPr>
                <w:rFonts w:ascii="Arial Narrow" w:hAnsi="Arial Narrow"/>
                <w:sz w:val="18"/>
                <w:szCs w:val="18"/>
              </w:rPr>
              <w:t>102</w:t>
            </w:r>
          </w:p>
        </w:tc>
        <w:tc>
          <w:tcPr>
            <w:tcW w:w="126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41,049</w:t>
            </w:r>
          </w:p>
        </w:tc>
        <w:tc>
          <w:tcPr>
            <w:tcW w:w="90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1,675</w:t>
            </w:r>
          </w:p>
        </w:tc>
        <w:tc>
          <w:tcPr>
            <w:tcW w:w="81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3,979</w:t>
            </w:r>
          </w:p>
        </w:tc>
        <w:tc>
          <w:tcPr>
            <w:tcW w:w="135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w:t>
            </w:r>
            <w:r w:rsidR="004A2ECB">
              <w:rPr>
                <w:rFonts w:ascii="Arial Narrow" w:hAnsi="Arial Narrow"/>
                <w:sz w:val="18"/>
                <w:szCs w:val="18"/>
              </w:rPr>
              <w:t>,</w:t>
            </w:r>
            <w:r w:rsidRPr="00AD151D">
              <w:rPr>
                <w:rFonts w:ascii="Arial Narrow" w:hAnsi="Arial Narrow"/>
                <w:sz w:val="18"/>
                <w:szCs w:val="18"/>
              </w:rPr>
              <w:t>688</w:t>
            </w:r>
          </w:p>
        </w:tc>
        <w:tc>
          <w:tcPr>
            <w:tcW w:w="99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983"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w:t>
            </w:r>
            <w:r w:rsidR="004A2ECB">
              <w:rPr>
                <w:rFonts w:ascii="Arial Narrow" w:hAnsi="Arial Narrow"/>
                <w:sz w:val="18"/>
                <w:szCs w:val="18"/>
              </w:rPr>
              <w:t>,</w:t>
            </w:r>
            <w:r w:rsidRPr="00AD151D">
              <w:rPr>
                <w:rFonts w:ascii="Arial Narrow" w:hAnsi="Arial Narrow"/>
                <w:sz w:val="18"/>
                <w:szCs w:val="18"/>
              </w:rPr>
              <w:t>085</w:t>
            </w:r>
          </w:p>
        </w:tc>
        <w:tc>
          <w:tcPr>
            <w:tcW w:w="1447" w:type="dxa"/>
            <w:tcBorders>
              <w:top w:val="single" w:sz="4" w:space="0" w:color="auto"/>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50</w:t>
            </w:r>
            <w:r w:rsidR="004A2ECB">
              <w:rPr>
                <w:rFonts w:ascii="Arial Narrow" w:hAnsi="Arial Narrow"/>
                <w:sz w:val="18"/>
                <w:szCs w:val="18"/>
              </w:rPr>
              <w:t>,</w:t>
            </w:r>
            <w:r w:rsidRPr="00AD151D">
              <w:rPr>
                <w:rFonts w:ascii="Arial Narrow" w:hAnsi="Arial Narrow"/>
                <w:sz w:val="18"/>
                <w:szCs w:val="18"/>
              </w:rPr>
              <w:t>879</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102%</w:t>
            </w:r>
          </w:p>
        </w:tc>
      </w:tr>
      <w:tr w:rsidR="00EC35C4" w:rsidRPr="00AD151D" w:rsidTr="00277DC8">
        <w:trPr>
          <w:trHeight w:val="78"/>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Non-CPUC LSEs</w:t>
            </w:r>
          </w:p>
        </w:tc>
        <w:tc>
          <w:tcPr>
            <w:tcW w:w="90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680</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w:t>
            </w:r>
            <w:r w:rsidR="004A2ECB">
              <w:rPr>
                <w:rFonts w:ascii="Arial Narrow" w:hAnsi="Arial Narrow"/>
                <w:sz w:val="18"/>
                <w:szCs w:val="18"/>
              </w:rPr>
              <w:t>,</w:t>
            </w:r>
            <w:r w:rsidRPr="00AD151D">
              <w:rPr>
                <w:rFonts w:ascii="Arial Narrow" w:hAnsi="Arial Narrow"/>
                <w:sz w:val="18"/>
                <w:szCs w:val="18"/>
              </w:rPr>
              <w:t>213</w:t>
            </w:r>
          </w:p>
        </w:tc>
        <w:tc>
          <w:tcPr>
            <w:tcW w:w="126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w:t>
            </w:r>
            <w:r w:rsidR="004A2ECB">
              <w:rPr>
                <w:rFonts w:ascii="Arial Narrow" w:hAnsi="Arial Narrow"/>
                <w:sz w:val="18"/>
                <w:szCs w:val="18"/>
              </w:rPr>
              <w:t>,</w:t>
            </w:r>
            <w:r w:rsidRPr="00AD151D">
              <w:rPr>
                <w:rFonts w:ascii="Arial Narrow" w:hAnsi="Arial Narrow"/>
                <w:sz w:val="18"/>
                <w:szCs w:val="18"/>
              </w:rPr>
              <w:t>533</w:t>
            </w:r>
          </w:p>
        </w:tc>
        <w:tc>
          <w:tcPr>
            <w:tcW w:w="90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 </w:t>
            </w:r>
          </w:p>
        </w:tc>
        <w:tc>
          <w:tcPr>
            <w:tcW w:w="81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w:t>
            </w:r>
            <w:r w:rsidR="004A2ECB">
              <w:rPr>
                <w:rFonts w:ascii="Arial Narrow" w:hAnsi="Arial Narrow"/>
                <w:sz w:val="18"/>
                <w:szCs w:val="18"/>
              </w:rPr>
              <w:t>,</w:t>
            </w:r>
            <w:r w:rsidRPr="00AD151D">
              <w:rPr>
                <w:rFonts w:ascii="Arial Narrow" w:hAnsi="Arial Narrow"/>
                <w:sz w:val="18"/>
                <w:szCs w:val="18"/>
              </w:rPr>
              <w:t>045</w:t>
            </w:r>
          </w:p>
        </w:tc>
        <w:tc>
          <w:tcPr>
            <w:tcW w:w="135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196</w:t>
            </w:r>
          </w:p>
        </w:tc>
        <w:tc>
          <w:tcPr>
            <w:tcW w:w="99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571</w:t>
            </w:r>
          </w:p>
        </w:tc>
        <w:tc>
          <w:tcPr>
            <w:tcW w:w="983"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w:t>
            </w:r>
            <w:r w:rsidR="004A2ECB">
              <w:rPr>
                <w:rFonts w:ascii="Arial Narrow" w:hAnsi="Arial Narrow"/>
                <w:sz w:val="18"/>
                <w:szCs w:val="18"/>
              </w:rPr>
              <w:t>,</w:t>
            </w:r>
            <w:r w:rsidRPr="00AD151D">
              <w:rPr>
                <w:rFonts w:ascii="Arial Narrow" w:hAnsi="Arial Narrow"/>
                <w:sz w:val="18"/>
                <w:szCs w:val="18"/>
              </w:rPr>
              <w:t>375</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104%</w:t>
            </w:r>
          </w:p>
        </w:tc>
      </w:tr>
      <w:tr w:rsidR="00EC35C4" w:rsidRPr="00AD151D" w:rsidTr="00277DC8">
        <w:trPr>
          <w:trHeight w:val="78"/>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Total RA capacity</w:t>
            </w:r>
          </w:p>
        </w:tc>
        <w:tc>
          <w:tcPr>
            <w:tcW w:w="90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47</w:t>
            </w:r>
            <w:r w:rsidR="004A2ECB">
              <w:rPr>
                <w:rFonts w:ascii="Arial Narrow" w:hAnsi="Arial Narrow"/>
                <w:b/>
                <w:bCs/>
                <w:sz w:val="18"/>
                <w:szCs w:val="18"/>
              </w:rPr>
              <w:t>,</w:t>
            </w:r>
            <w:r w:rsidRPr="00AD151D">
              <w:rPr>
                <w:rFonts w:ascii="Arial Narrow" w:hAnsi="Arial Narrow"/>
                <w:b/>
                <w:bCs/>
                <w:sz w:val="18"/>
                <w:szCs w:val="18"/>
              </w:rPr>
              <w:t>247</w:t>
            </w:r>
          </w:p>
        </w:tc>
        <w:tc>
          <w:tcPr>
            <w:tcW w:w="117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54</w:t>
            </w:r>
            <w:r w:rsidR="004A2ECB">
              <w:rPr>
                <w:rFonts w:ascii="Arial Narrow" w:hAnsi="Arial Narrow"/>
                <w:b/>
                <w:bCs/>
                <w:sz w:val="18"/>
                <w:szCs w:val="18"/>
              </w:rPr>
              <w:t>,</w:t>
            </w:r>
            <w:r w:rsidRPr="00AD151D">
              <w:rPr>
                <w:rFonts w:ascii="Arial Narrow" w:hAnsi="Arial Narrow"/>
                <w:b/>
                <w:bCs/>
                <w:sz w:val="18"/>
                <w:szCs w:val="18"/>
              </w:rPr>
              <w:t>315</w:t>
            </w:r>
          </w:p>
        </w:tc>
        <w:tc>
          <w:tcPr>
            <w:tcW w:w="126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43</w:t>
            </w:r>
            <w:r w:rsidR="004A2ECB">
              <w:rPr>
                <w:rFonts w:ascii="Arial Narrow" w:hAnsi="Arial Narrow"/>
                <w:b/>
                <w:bCs/>
                <w:sz w:val="18"/>
                <w:szCs w:val="18"/>
              </w:rPr>
              <w:t>,</w:t>
            </w:r>
            <w:r w:rsidRPr="00AD151D">
              <w:rPr>
                <w:rFonts w:ascii="Arial Narrow" w:hAnsi="Arial Narrow"/>
                <w:b/>
                <w:bCs/>
                <w:sz w:val="18"/>
                <w:szCs w:val="18"/>
              </w:rPr>
              <w:t>582</w:t>
            </w:r>
          </w:p>
        </w:tc>
        <w:tc>
          <w:tcPr>
            <w:tcW w:w="90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r w:rsidR="004A2ECB">
              <w:rPr>
                <w:rFonts w:ascii="Arial Narrow" w:hAnsi="Arial Narrow"/>
                <w:b/>
                <w:bCs/>
                <w:sz w:val="18"/>
                <w:szCs w:val="18"/>
              </w:rPr>
              <w:t>,</w:t>
            </w:r>
            <w:r w:rsidRPr="00AD151D">
              <w:rPr>
                <w:rFonts w:ascii="Arial Narrow" w:hAnsi="Arial Narrow"/>
                <w:b/>
                <w:bCs/>
                <w:sz w:val="18"/>
                <w:szCs w:val="18"/>
              </w:rPr>
              <w:t>675</w:t>
            </w:r>
          </w:p>
        </w:tc>
        <w:tc>
          <w:tcPr>
            <w:tcW w:w="81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w:t>
            </w:r>
            <w:r w:rsidR="004A2ECB">
              <w:rPr>
                <w:rFonts w:ascii="Arial Narrow" w:hAnsi="Arial Narrow"/>
                <w:b/>
                <w:bCs/>
                <w:sz w:val="18"/>
                <w:szCs w:val="18"/>
              </w:rPr>
              <w:t>,</w:t>
            </w:r>
            <w:r w:rsidRPr="00AD151D">
              <w:rPr>
                <w:rFonts w:ascii="Arial Narrow" w:hAnsi="Arial Narrow"/>
                <w:b/>
                <w:bCs/>
                <w:sz w:val="18"/>
                <w:szCs w:val="18"/>
              </w:rPr>
              <w:t>024</w:t>
            </w:r>
          </w:p>
        </w:tc>
        <w:tc>
          <w:tcPr>
            <w:tcW w:w="135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r w:rsidR="004A2ECB">
              <w:rPr>
                <w:rFonts w:ascii="Arial Narrow" w:hAnsi="Arial Narrow"/>
                <w:b/>
                <w:bCs/>
                <w:sz w:val="18"/>
                <w:szCs w:val="18"/>
              </w:rPr>
              <w:t>,</w:t>
            </w:r>
            <w:r w:rsidRPr="00AD151D">
              <w:rPr>
                <w:rFonts w:ascii="Arial Narrow" w:hAnsi="Arial Narrow"/>
                <w:b/>
                <w:bCs/>
                <w:sz w:val="18"/>
                <w:szCs w:val="18"/>
              </w:rPr>
              <w:t>884</w:t>
            </w:r>
          </w:p>
        </w:tc>
        <w:tc>
          <w:tcPr>
            <w:tcW w:w="99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571</w:t>
            </w:r>
          </w:p>
        </w:tc>
        <w:tc>
          <w:tcPr>
            <w:tcW w:w="983"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1085</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55</w:t>
            </w:r>
            <w:r w:rsidR="004A2ECB">
              <w:rPr>
                <w:rFonts w:ascii="Arial Narrow" w:hAnsi="Arial Narrow"/>
                <w:sz w:val="18"/>
                <w:szCs w:val="18"/>
              </w:rPr>
              <w:t>,</w:t>
            </w:r>
            <w:r w:rsidRPr="00AD151D">
              <w:rPr>
                <w:rFonts w:ascii="Arial Narrow" w:hAnsi="Arial Narrow"/>
                <w:sz w:val="18"/>
                <w:szCs w:val="18"/>
              </w:rPr>
              <w:t>254</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102%</w:t>
            </w:r>
          </w:p>
        </w:tc>
      </w:tr>
      <w:tr w:rsidR="00EC35C4" w:rsidRPr="00AD151D" w:rsidTr="00277DC8">
        <w:trPr>
          <w:trHeight w:val="81"/>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8" w:space="0" w:color="auto"/>
              <w:right w:val="single" w:sz="4" w:space="0" w:color="auto"/>
            </w:tcBorders>
            <w:noWrap/>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 of Capacity</w:t>
            </w:r>
          </w:p>
        </w:tc>
        <w:tc>
          <w:tcPr>
            <w:tcW w:w="90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17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26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79%</w:t>
            </w:r>
          </w:p>
        </w:tc>
        <w:tc>
          <w:tcPr>
            <w:tcW w:w="90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3%</w:t>
            </w:r>
          </w:p>
        </w:tc>
        <w:tc>
          <w:tcPr>
            <w:tcW w:w="8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9%</w:t>
            </w:r>
          </w:p>
        </w:tc>
        <w:tc>
          <w:tcPr>
            <w:tcW w:w="135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w:t>
            </w:r>
          </w:p>
        </w:tc>
        <w:tc>
          <w:tcPr>
            <w:tcW w:w="99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p>
        </w:tc>
        <w:tc>
          <w:tcPr>
            <w:tcW w:w="983"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p>
        </w:tc>
        <w:tc>
          <w:tcPr>
            <w:tcW w:w="1447"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100%</w:t>
            </w:r>
          </w:p>
        </w:tc>
        <w:tc>
          <w:tcPr>
            <w:tcW w:w="17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r>
      <w:tr w:rsidR="00EC35C4" w:rsidRPr="00AD151D" w:rsidTr="00277DC8">
        <w:trPr>
          <w:trHeight w:val="78"/>
        </w:trPr>
        <w:tc>
          <w:tcPr>
            <w:tcW w:w="630" w:type="dxa"/>
            <w:vMerge w:val="restart"/>
            <w:tcBorders>
              <w:top w:val="nil"/>
              <w:left w:val="single" w:sz="4" w:space="0" w:color="auto"/>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Aug-11</w:t>
            </w: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CPUC LSEs</w:t>
            </w:r>
          </w:p>
        </w:tc>
        <w:tc>
          <w:tcPr>
            <w:tcW w:w="90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45</w:t>
            </w:r>
            <w:r w:rsidR="004A2ECB">
              <w:rPr>
                <w:rFonts w:ascii="Arial Narrow" w:hAnsi="Arial Narrow"/>
                <w:sz w:val="18"/>
                <w:szCs w:val="18"/>
              </w:rPr>
              <w:t>,</w:t>
            </w:r>
            <w:r w:rsidRPr="00AD151D">
              <w:rPr>
                <w:rFonts w:ascii="Arial Narrow" w:hAnsi="Arial Narrow"/>
                <w:sz w:val="18"/>
                <w:szCs w:val="18"/>
              </w:rPr>
              <w:t>180</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51</w:t>
            </w:r>
            <w:r w:rsidR="004A2ECB">
              <w:rPr>
                <w:rFonts w:ascii="Arial Narrow" w:hAnsi="Arial Narrow"/>
                <w:sz w:val="18"/>
                <w:szCs w:val="18"/>
              </w:rPr>
              <w:t>,</w:t>
            </w:r>
            <w:r w:rsidRPr="00AD151D">
              <w:rPr>
                <w:rFonts w:ascii="Arial Narrow" w:hAnsi="Arial Narrow"/>
                <w:sz w:val="18"/>
                <w:szCs w:val="18"/>
              </w:rPr>
              <w:t>957</w:t>
            </w:r>
          </w:p>
        </w:tc>
        <w:tc>
          <w:tcPr>
            <w:tcW w:w="126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41,647</w:t>
            </w:r>
          </w:p>
        </w:tc>
        <w:tc>
          <w:tcPr>
            <w:tcW w:w="90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1,695</w:t>
            </w:r>
          </w:p>
        </w:tc>
        <w:tc>
          <w:tcPr>
            <w:tcW w:w="81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5,119</w:t>
            </w:r>
          </w:p>
        </w:tc>
        <w:tc>
          <w:tcPr>
            <w:tcW w:w="135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2580</w:t>
            </w:r>
          </w:p>
        </w:tc>
        <w:tc>
          <w:tcPr>
            <w:tcW w:w="99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983"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1085</w:t>
            </w:r>
          </w:p>
        </w:tc>
        <w:tc>
          <w:tcPr>
            <w:tcW w:w="1447" w:type="dxa"/>
            <w:tcBorders>
              <w:top w:val="single" w:sz="4" w:space="0" w:color="auto"/>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52</w:t>
            </w:r>
            <w:r w:rsidR="004A2ECB">
              <w:rPr>
                <w:rFonts w:ascii="Arial Narrow" w:hAnsi="Arial Narrow"/>
                <w:sz w:val="18"/>
                <w:szCs w:val="18"/>
              </w:rPr>
              <w:t>,</w:t>
            </w:r>
            <w:r w:rsidRPr="00AD151D">
              <w:rPr>
                <w:rFonts w:ascii="Arial Narrow" w:hAnsi="Arial Narrow"/>
                <w:sz w:val="18"/>
                <w:szCs w:val="18"/>
              </w:rPr>
              <w:t>513</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101%</w:t>
            </w:r>
          </w:p>
        </w:tc>
      </w:tr>
      <w:tr w:rsidR="00EC35C4" w:rsidRPr="00AD151D" w:rsidTr="00277DC8">
        <w:trPr>
          <w:trHeight w:val="78"/>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Non-CPUC LSEs</w:t>
            </w:r>
          </w:p>
        </w:tc>
        <w:tc>
          <w:tcPr>
            <w:tcW w:w="90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585</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w:t>
            </w:r>
            <w:r w:rsidR="004A2ECB">
              <w:rPr>
                <w:rFonts w:ascii="Arial Narrow" w:hAnsi="Arial Narrow"/>
                <w:sz w:val="18"/>
                <w:szCs w:val="18"/>
              </w:rPr>
              <w:t>,</w:t>
            </w:r>
            <w:r w:rsidRPr="00AD151D">
              <w:rPr>
                <w:rFonts w:ascii="Arial Narrow" w:hAnsi="Arial Narrow"/>
                <w:sz w:val="18"/>
                <w:szCs w:val="18"/>
              </w:rPr>
              <w:t>053</w:t>
            </w:r>
          </w:p>
        </w:tc>
        <w:tc>
          <w:tcPr>
            <w:tcW w:w="126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w:t>
            </w:r>
            <w:r w:rsidR="004A2ECB">
              <w:rPr>
                <w:rFonts w:ascii="Arial Narrow" w:hAnsi="Arial Narrow"/>
                <w:sz w:val="18"/>
                <w:szCs w:val="18"/>
              </w:rPr>
              <w:t>,</w:t>
            </w:r>
            <w:r w:rsidRPr="00AD151D">
              <w:rPr>
                <w:rFonts w:ascii="Arial Narrow" w:hAnsi="Arial Narrow"/>
                <w:sz w:val="18"/>
                <w:szCs w:val="18"/>
              </w:rPr>
              <w:t>393</w:t>
            </w:r>
          </w:p>
        </w:tc>
        <w:tc>
          <w:tcPr>
            <w:tcW w:w="90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 </w:t>
            </w:r>
          </w:p>
        </w:tc>
        <w:tc>
          <w:tcPr>
            <w:tcW w:w="81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1031</w:t>
            </w:r>
          </w:p>
        </w:tc>
        <w:tc>
          <w:tcPr>
            <w:tcW w:w="135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226</w:t>
            </w:r>
          </w:p>
        </w:tc>
        <w:tc>
          <w:tcPr>
            <w:tcW w:w="99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517</w:t>
            </w:r>
          </w:p>
        </w:tc>
        <w:tc>
          <w:tcPr>
            <w:tcW w:w="983"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w:t>
            </w:r>
            <w:r w:rsidR="004A2ECB">
              <w:rPr>
                <w:rFonts w:ascii="Arial Narrow" w:hAnsi="Arial Narrow"/>
                <w:sz w:val="18"/>
                <w:szCs w:val="18"/>
              </w:rPr>
              <w:t>,</w:t>
            </w:r>
            <w:r w:rsidRPr="00AD151D">
              <w:rPr>
                <w:rFonts w:ascii="Arial Narrow" w:hAnsi="Arial Narrow"/>
                <w:sz w:val="18"/>
                <w:szCs w:val="18"/>
              </w:rPr>
              <w:t>201</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104%</w:t>
            </w:r>
          </w:p>
        </w:tc>
      </w:tr>
      <w:tr w:rsidR="00EC35C4" w:rsidRPr="00AD151D" w:rsidTr="00277DC8">
        <w:trPr>
          <w:trHeight w:val="78"/>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Total RA capacity</w:t>
            </w:r>
          </w:p>
        </w:tc>
        <w:tc>
          <w:tcPr>
            <w:tcW w:w="90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48</w:t>
            </w:r>
            <w:r w:rsidR="004A2ECB">
              <w:rPr>
                <w:rFonts w:ascii="Arial Narrow" w:hAnsi="Arial Narrow"/>
                <w:b/>
                <w:bCs/>
                <w:sz w:val="18"/>
                <w:szCs w:val="18"/>
              </w:rPr>
              <w:t>,</w:t>
            </w:r>
            <w:r w:rsidRPr="00AD151D">
              <w:rPr>
                <w:rFonts w:ascii="Arial Narrow" w:hAnsi="Arial Narrow"/>
                <w:b/>
                <w:bCs/>
                <w:sz w:val="18"/>
                <w:szCs w:val="18"/>
              </w:rPr>
              <w:t>765</w:t>
            </w:r>
          </w:p>
        </w:tc>
        <w:tc>
          <w:tcPr>
            <w:tcW w:w="117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56</w:t>
            </w:r>
            <w:r w:rsidR="004A2ECB">
              <w:rPr>
                <w:rFonts w:ascii="Arial Narrow" w:hAnsi="Arial Narrow"/>
                <w:b/>
                <w:bCs/>
                <w:sz w:val="18"/>
                <w:szCs w:val="18"/>
              </w:rPr>
              <w:t>,</w:t>
            </w:r>
            <w:r w:rsidRPr="00AD151D">
              <w:rPr>
                <w:rFonts w:ascii="Arial Narrow" w:hAnsi="Arial Narrow"/>
                <w:b/>
                <w:bCs/>
                <w:sz w:val="18"/>
                <w:szCs w:val="18"/>
              </w:rPr>
              <w:t>010</w:t>
            </w:r>
          </w:p>
        </w:tc>
        <w:tc>
          <w:tcPr>
            <w:tcW w:w="126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44</w:t>
            </w:r>
            <w:r w:rsidR="004A2ECB">
              <w:rPr>
                <w:rFonts w:ascii="Arial Narrow" w:hAnsi="Arial Narrow"/>
                <w:b/>
                <w:bCs/>
                <w:sz w:val="18"/>
                <w:szCs w:val="18"/>
              </w:rPr>
              <w:t>,</w:t>
            </w:r>
            <w:r w:rsidRPr="00AD151D">
              <w:rPr>
                <w:rFonts w:ascii="Arial Narrow" w:hAnsi="Arial Narrow"/>
                <w:b/>
                <w:bCs/>
                <w:sz w:val="18"/>
                <w:szCs w:val="18"/>
              </w:rPr>
              <w:t>039</w:t>
            </w:r>
          </w:p>
        </w:tc>
        <w:tc>
          <w:tcPr>
            <w:tcW w:w="90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r w:rsidR="004A2ECB">
              <w:rPr>
                <w:rFonts w:ascii="Arial Narrow" w:hAnsi="Arial Narrow"/>
                <w:b/>
                <w:bCs/>
                <w:sz w:val="18"/>
                <w:szCs w:val="18"/>
              </w:rPr>
              <w:t>,</w:t>
            </w:r>
            <w:r w:rsidRPr="00AD151D">
              <w:rPr>
                <w:rFonts w:ascii="Arial Narrow" w:hAnsi="Arial Narrow"/>
                <w:b/>
                <w:bCs/>
                <w:sz w:val="18"/>
                <w:szCs w:val="18"/>
              </w:rPr>
              <w:t>695</w:t>
            </w:r>
          </w:p>
        </w:tc>
        <w:tc>
          <w:tcPr>
            <w:tcW w:w="8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6</w:t>
            </w:r>
            <w:r w:rsidR="004A2ECB">
              <w:rPr>
                <w:rFonts w:ascii="Arial Narrow" w:hAnsi="Arial Narrow"/>
                <w:b/>
                <w:bCs/>
                <w:sz w:val="18"/>
                <w:szCs w:val="18"/>
              </w:rPr>
              <w:t>,</w:t>
            </w:r>
            <w:r w:rsidRPr="00AD151D">
              <w:rPr>
                <w:rFonts w:ascii="Arial Narrow" w:hAnsi="Arial Narrow"/>
                <w:b/>
                <w:bCs/>
                <w:sz w:val="18"/>
                <w:szCs w:val="18"/>
              </w:rPr>
              <w:t>150</w:t>
            </w:r>
          </w:p>
        </w:tc>
        <w:tc>
          <w:tcPr>
            <w:tcW w:w="135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r w:rsidR="004A2ECB">
              <w:rPr>
                <w:rFonts w:ascii="Arial Narrow" w:hAnsi="Arial Narrow"/>
                <w:b/>
                <w:bCs/>
                <w:sz w:val="18"/>
                <w:szCs w:val="18"/>
              </w:rPr>
              <w:t>,</w:t>
            </w:r>
            <w:r w:rsidRPr="00AD151D">
              <w:rPr>
                <w:rFonts w:ascii="Arial Narrow" w:hAnsi="Arial Narrow"/>
                <w:b/>
                <w:bCs/>
                <w:sz w:val="18"/>
                <w:szCs w:val="18"/>
              </w:rPr>
              <w:t>806</w:t>
            </w:r>
          </w:p>
        </w:tc>
        <w:tc>
          <w:tcPr>
            <w:tcW w:w="99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517</w:t>
            </w:r>
          </w:p>
        </w:tc>
        <w:tc>
          <w:tcPr>
            <w:tcW w:w="983"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r w:rsidR="004A2ECB">
              <w:rPr>
                <w:rFonts w:ascii="Arial Narrow" w:hAnsi="Arial Narrow"/>
                <w:b/>
                <w:bCs/>
                <w:sz w:val="18"/>
                <w:szCs w:val="18"/>
              </w:rPr>
              <w:t>,</w:t>
            </w:r>
            <w:r w:rsidRPr="00AD151D">
              <w:rPr>
                <w:rFonts w:ascii="Arial Narrow" w:hAnsi="Arial Narrow"/>
                <w:b/>
                <w:bCs/>
                <w:sz w:val="18"/>
                <w:szCs w:val="18"/>
              </w:rPr>
              <w:t>085</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56</w:t>
            </w:r>
            <w:r w:rsidR="004A2ECB">
              <w:rPr>
                <w:rFonts w:ascii="Arial Narrow" w:hAnsi="Arial Narrow"/>
                <w:sz w:val="18"/>
                <w:szCs w:val="18"/>
              </w:rPr>
              <w:t>,</w:t>
            </w:r>
            <w:r w:rsidRPr="00AD151D">
              <w:rPr>
                <w:rFonts w:ascii="Arial Narrow" w:hAnsi="Arial Narrow"/>
                <w:sz w:val="18"/>
                <w:szCs w:val="18"/>
              </w:rPr>
              <w:t>714</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101%</w:t>
            </w:r>
          </w:p>
        </w:tc>
      </w:tr>
      <w:tr w:rsidR="00EC35C4" w:rsidRPr="00AD151D" w:rsidTr="00277DC8">
        <w:trPr>
          <w:trHeight w:val="81"/>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8" w:space="0" w:color="auto"/>
              <w:right w:val="single" w:sz="4" w:space="0" w:color="auto"/>
            </w:tcBorders>
            <w:noWrap/>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 of Capacity</w:t>
            </w:r>
          </w:p>
        </w:tc>
        <w:tc>
          <w:tcPr>
            <w:tcW w:w="900" w:type="dxa"/>
            <w:tcBorders>
              <w:top w:val="nil"/>
              <w:left w:val="nil"/>
              <w:bottom w:val="single" w:sz="8"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170" w:type="dxa"/>
            <w:tcBorders>
              <w:top w:val="nil"/>
              <w:left w:val="nil"/>
              <w:bottom w:val="single" w:sz="8"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26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78%</w:t>
            </w:r>
          </w:p>
        </w:tc>
        <w:tc>
          <w:tcPr>
            <w:tcW w:w="90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3%</w:t>
            </w:r>
          </w:p>
        </w:tc>
        <w:tc>
          <w:tcPr>
            <w:tcW w:w="8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11%</w:t>
            </w:r>
          </w:p>
        </w:tc>
        <w:tc>
          <w:tcPr>
            <w:tcW w:w="135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w:t>
            </w:r>
          </w:p>
        </w:tc>
        <w:tc>
          <w:tcPr>
            <w:tcW w:w="99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p>
        </w:tc>
        <w:tc>
          <w:tcPr>
            <w:tcW w:w="983"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p>
        </w:tc>
        <w:tc>
          <w:tcPr>
            <w:tcW w:w="1447"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100%</w:t>
            </w:r>
          </w:p>
        </w:tc>
        <w:tc>
          <w:tcPr>
            <w:tcW w:w="17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r>
      <w:tr w:rsidR="00EC35C4" w:rsidRPr="00AD151D" w:rsidTr="00277DC8">
        <w:trPr>
          <w:trHeight w:val="78"/>
        </w:trPr>
        <w:tc>
          <w:tcPr>
            <w:tcW w:w="630" w:type="dxa"/>
            <w:vMerge w:val="restart"/>
            <w:tcBorders>
              <w:top w:val="nil"/>
              <w:left w:val="single" w:sz="4" w:space="0" w:color="auto"/>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Sep-11</w:t>
            </w: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CPUC LSEs</w:t>
            </w:r>
          </w:p>
        </w:tc>
        <w:tc>
          <w:tcPr>
            <w:tcW w:w="900" w:type="dxa"/>
            <w:tcBorders>
              <w:top w:val="nil"/>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41</w:t>
            </w:r>
            <w:r w:rsidR="004A2ECB">
              <w:rPr>
                <w:rFonts w:ascii="Arial Narrow" w:hAnsi="Arial Narrow"/>
                <w:sz w:val="18"/>
                <w:szCs w:val="18"/>
              </w:rPr>
              <w:t>,</w:t>
            </w:r>
            <w:r w:rsidRPr="00AD151D">
              <w:rPr>
                <w:rFonts w:ascii="Arial Narrow" w:hAnsi="Arial Narrow"/>
                <w:sz w:val="18"/>
                <w:szCs w:val="18"/>
              </w:rPr>
              <w:t>660</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47</w:t>
            </w:r>
            <w:r w:rsidR="004A2ECB">
              <w:rPr>
                <w:rFonts w:ascii="Arial Narrow" w:hAnsi="Arial Narrow"/>
                <w:sz w:val="18"/>
                <w:szCs w:val="18"/>
              </w:rPr>
              <w:t>,</w:t>
            </w:r>
            <w:r w:rsidRPr="00AD151D">
              <w:rPr>
                <w:rFonts w:ascii="Arial Narrow" w:hAnsi="Arial Narrow"/>
                <w:sz w:val="18"/>
                <w:szCs w:val="18"/>
              </w:rPr>
              <w:t>908</w:t>
            </w:r>
          </w:p>
        </w:tc>
        <w:tc>
          <w:tcPr>
            <w:tcW w:w="126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38,902</w:t>
            </w:r>
          </w:p>
        </w:tc>
        <w:tc>
          <w:tcPr>
            <w:tcW w:w="90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1,395</w:t>
            </w:r>
          </w:p>
        </w:tc>
        <w:tc>
          <w:tcPr>
            <w:tcW w:w="81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4,489</w:t>
            </w:r>
          </w:p>
        </w:tc>
        <w:tc>
          <w:tcPr>
            <w:tcW w:w="135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w:t>
            </w:r>
            <w:r w:rsidR="004A2ECB">
              <w:rPr>
                <w:rFonts w:ascii="Arial Narrow" w:hAnsi="Arial Narrow"/>
                <w:sz w:val="18"/>
                <w:szCs w:val="18"/>
              </w:rPr>
              <w:t>,</w:t>
            </w:r>
            <w:r w:rsidRPr="00AD151D">
              <w:rPr>
                <w:rFonts w:ascii="Arial Narrow" w:hAnsi="Arial Narrow"/>
                <w:sz w:val="18"/>
                <w:szCs w:val="18"/>
              </w:rPr>
              <w:t>619</w:t>
            </w:r>
          </w:p>
        </w:tc>
        <w:tc>
          <w:tcPr>
            <w:tcW w:w="99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983" w:type="dxa"/>
            <w:tcBorders>
              <w:top w:val="single" w:sz="4" w:space="0" w:color="auto"/>
              <w:left w:val="nil"/>
              <w:bottom w:val="single" w:sz="4" w:space="0" w:color="auto"/>
              <w:right w:val="single" w:sz="4" w:space="0" w:color="auto"/>
            </w:tcBorders>
            <w:shd w:val="clear" w:color="000000" w:fill="66FFCC"/>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w:t>
            </w:r>
            <w:r w:rsidR="004A2ECB">
              <w:rPr>
                <w:rFonts w:ascii="Arial Narrow" w:hAnsi="Arial Narrow"/>
                <w:sz w:val="18"/>
                <w:szCs w:val="18"/>
              </w:rPr>
              <w:t>,</w:t>
            </w:r>
            <w:r w:rsidRPr="00AD151D">
              <w:rPr>
                <w:rFonts w:ascii="Arial Narrow" w:hAnsi="Arial Narrow"/>
                <w:sz w:val="18"/>
                <w:szCs w:val="18"/>
              </w:rPr>
              <w:t>085</w:t>
            </w:r>
          </w:p>
        </w:tc>
        <w:tc>
          <w:tcPr>
            <w:tcW w:w="1447" w:type="dxa"/>
            <w:tcBorders>
              <w:top w:val="single" w:sz="4" w:space="0" w:color="auto"/>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48</w:t>
            </w:r>
            <w:r w:rsidR="004A2ECB">
              <w:rPr>
                <w:rFonts w:ascii="Arial Narrow" w:hAnsi="Arial Narrow"/>
                <w:sz w:val="18"/>
                <w:szCs w:val="18"/>
              </w:rPr>
              <w:t>,</w:t>
            </w:r>
            <w:r w:rsidRPr="00AD151D">
              <w:rPr>
                <w:rFonts w:ascii="Arial Narrow" w:hAnsi="Arial Narrow"/>
                <w:sz w:val="18"/>
                <w:szCs w:val="18"/>
              </w:rPr>
              <w:t>884</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102%</w:t>
            </w:r>
          </w:p>
        </w:tc>
      </w:tr>
      <w:tr w:rsidR="00EC35C4" w:rsidRPr="00AD151D" w:rsidTr="00277DC8">
        <w:trPr>
          <w:trHeight w:val="78"/>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Non-CPUC LSEs</w:t>
            </w:r>
          </w:p>
        </w:tc>
        <w:tc>
          <w:tcPr>
            <w:tcW w:w="90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498</w:t>
            </w:r>
          </w:p>
        </w:tc>
        <w:tc>
          <w:tcPr>
            <w:tcW w:w="117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w:t>
            </w:r>
            <w:r w:rsidR="004A2ECB">
              <w:rPr>
                <w:rFonts w:ascii="Arial Narrow" w:hAnsi="Arial Narrow"/>
                <w:sz w:val="18"/>
                <w:szCs w:val="18"/>
              </w:rPr>
              <w:t>,</w:t>
            </w:r>
            <w:r w:rsidRPr="00AD151D">
              <w:rPr>
                <w:rFonts w:ascii="Arial Narrow" w:hAnsi="Arial Narrow"/>
                <w:sz w:val="18"/>
                <w:szCs w:val="18"/>
              </w:rPr>
              <w:t>498</w:t>
            </w:r>
          </w:p>
        </w:tc>
        <w:tc>
          <w:tcPr>
            <w:tcW w:w="126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2</w:t>
            </w:r>
            <w:r w:rsidR="004A2ECB">
              <w:rPr>
                <w:rFonts w:ascii="Arial Narrow" w:hAnsi="Arial Narrow"/>
                <w:sz w:val="18"/>
                <w:szCs w:val="18"/>
              </w:rPr>
              <w:t>,</w:t>
            </w:r>
            <w:r w:rsidRPr="00AD151D">
              <w:rPr>
                <w:rFonts w:ascii="Arial Narrow" w:hAnsi="Arial Narrow"/>
                <w:sz w:val="18"/>
                <w:szCs w:val="18"/>
              </w:rPr>
              <w:t>221</w:t>
            </w:r>
          </w:p>
        </w:tc>
        <w:tc>
          <w:tcPr>
            <w:tcW w:w="90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 </w:t>
            </w:r>
          </w:p>
        </w:tc>
        <w:tc>
          <w:tcPr>
            <w:tcW w:w="81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1059</w:t>
            </w:r>
          </w:p>
        </w:tc>
        <w:tc>
          <w:tcPr>
            <w:tcW w:w="135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339</w:t>
            </w:r>
          </w:p>
        </w:tc>
        <w:tc>
          <w:tcPr>
            <w:tcW w:w="990"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526</w:t>
            </w:r>
          </w:p>
        </w:tc>
        <w:tc>
          <w:tcPr>
            <w:tcW w:w="983" w:type="dxa"/>
            <w:tcBorders>
              <w:top w:val="nil"/>
              <w:left w:val="nil"/>
              <w:bottom w:val="single" w:sz="4" w:space="0" w:color="auto"/>
              <w:right w:val="single" w:sz="4" w:space="0" w:color="auto"/>
            </w:tcBorders>
            <w:shd w:val="clear" w:color="000000" w:fill="66FFCC"/>
            <w:noWrap/>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0</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4</w:t>
            </w:r>
            <w:r w:rsidR="004A2ECB">
              <w:rPr>
                <w:rFonts w:ascii="Arial Narrow" w:hAnsi="Arial Narrow"/>
                <w:sz w:val="18"/>
                <w:szCs w:val="18"/>
              </w:rPr>
              <w:t>,</w:t>
            </w:r>
            <w:r w:rsidRPr="00AD151D">
              <w:rPr>
                <w:rFonts w:ascii="Arial Narrow" w:hAnsi="Arial Narrow"/>
                <w:sz w:val="18"/>
                <w:szCs w:val="18"/>
              </w:rPr>
              <w:t>195</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120%</w:t>
            </w:r>
          </w:p>
        </w:tc>
      </w:tr>
      <w:tr w:rsidR="00EC35C4" w:rsidRPr="00AD151D" w:rsidTr="00277DC8">
        <w:trPr>
          <w:trHeight w:val="78"/>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4" w:space="0" w:color="auto"/>
              <w:right w:val="single" w:sz="4" w:space="0" w:color="auto"/>
            </w:tcBorders>
            <w:noWrap/>
            <w:vAlign w:val="bottom"/>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Total RA capacity</w:t>
            </w:r>
          </w:p>
        </w:tc>
        <w:tc>
          <w:tcPr>
            <w:tcW w:w="90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45</w:t>
            </w:r>
            <w:r w:rsidR="004A2ECB">
              <w:rPr>
                <w:rFonts w:ascii="Arial Narrow" w:hAnsi="Arial Narrow"/>
                <w:b/>
                <w:bCs/>
                <w:sz w:val="18"/>
                <w:szCs w:val="18"/>
              </w:rPr>
              <w:t>,</w:t>
            </w:r>
            <w:r w:rsidRPr="00AD151D">
              <w:rPr>
                <w:rFonts w:ascii="Arial Narrow" w:hAnsi="Arial Narrow"/>
                <w:b/>
                <w:bCs/>
                <w:sz w:val="18"/>
                <w:szCs w:val="18"/>
              </w:rPr>
              <w:t>158</w:t>
            </w:r>
          </w:p>
        </w:tc>
        <w:tc>
          <w:tcPr>
            <w:tcW w:w="117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51</w:t>
            </w:r>
            <w:r w:rsidR="004A2ECB">
              <w:rPr>
                <w:rFonts w:ascii="Arial Narrow" w:hAnsi="Arial Narrow"/>
                <w:b/>
                <w:bCs/>
                <w:sz w:val="18"/>
                <w:szCs w:val="18"/>
              </w:rPr>
              <w:t>,</w:t>
            </w:r>
            <w:r w:rsidRPr="00AD151D">
              <w:rPr>
                <w:rFonts w:ascii="Arial Narrow" w:hAnsi="Arial Narrow"/>
                <w:b/>
                <w:bCs/>
                <w:sz w:val="18"/>
                <w:szCs w:val="18"/>
              </w:rPr>
              <w:t>406</w:t>
            </w:r>
          </w:p>
        </w:tc>
        <w:tc>
          <w:tcPr>
            <w:tcW w:w="126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41</w:t>
            </w:r>
            <w:r w:rsidR="004A2ECB">
              <w:rPr>
                <w:rFonts w:ascii="Arial Narrow" w:hAnsi="Arial Narrow"/>
                <w:b/>
                <w:bCs/>
                <w:sz w:val="18"/>
                <w:szCs w:val="18"/>
              </w:rPr>
              <w:t>,</w:t>
            </w:r>
            <w:r w:rsidRPr="00AD151D">
              <w:rPr>
                <w:rFonts w:ascii="Arial Narrow" w:hAnsi="Arial Narrow"/>
                <w:b/>
                <w:bCs/>
                <w:sz w:val="18"/>
                <w:szCs w:val="18"/>
              </w:rPr>
              <w:t>123</w:t>
            </w:r>
          </w:p>
        </w:tc>
        <w:tc>
          <w:tcPr>
            <w:tcW w:w="90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r w:rsidR="004A2ECB">
              <w:rPr>
                <w:rFonts w:ascii="Arial Narrow" w:hAnsi="Arial Narrow"/>
                <w:b/>
                <w:bCs/>
                <w:sz w:val="18"/>
                <w:szCs w:val="18"/>
              </w:rPr>
              <w:t>,</w:t>
            </w:r>
            <w:r w:rsidRPr="00AD151D">
              <w:rPr>
                <w:rFonts w:ascii="Arial Narrow" w:hAnsi="Arial Narrow"/>
                <w:b/>
                <w:bCs/>
                <w:sz w:val="18"/>
                <w:szCs w:val="18"/>
              </w:rPr>
              <w:t>395</w:t>
            </w:r>
          </w:p>
        </w:tc>
        <w:tc>
          <w:tcPr>
            <w:tcW w:w="81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w:t>
            </w:r>
            <w:r w:rsidR="004A2ECB">
              <w:rPr>
                <w:rFonts w:ascii="Arial Narrow" w:hAnsi="Arial Narrow"/>
                <w:b/>
                <w:bCs/>
                <w:sz w:val="18"/>
                <w:szCs w:val="18"/>
              </w:rPr>
              <w:t>,</w:t>
            </w:r>
            <w:r w:rsidRPr="00AD151D">
              <w:rPr>
                <w:rFonts w:ascii="Arial Narrow" w:hAnsi="Arial Narrow"/>
                <w:b/>
                <w:bCs/>
                <w:sz w:val="18"/>
                <w:szCs w:val="18"/>
              </w:rPr>
              <w:t>548</w:t>
            </w:r>
          </w:p>
        </w:tc>
        <w:tc>
          <w:tcPr>
            <w:tcW w:w="135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r w:rsidR="004A2ECB">
              <w:rPr>
                <w:rFonts w:ascii="Arial Narrow" w:hAnsi="Arial Narrow"/>
                <w:b/>
                <w:bCs/>
                <w:sz w:val="18"/>
                <w:szCs w:val="18"/>
              </w:rPr>
              <w:t>,</w:t>
            </w:r>
            <w:r w:rsidRPr="00AD151D">
              <w:rPr>
                <w:rFonts w:ascii="Arial Narrow" w:hAnsi="Arial Narrow"/>
                <w:b/>
                <w:bCs/>
                <w:sz w:val="18"/>
                <w:szCs w:val="18"/>
              </w:rPr>
              <w:t>958</w:t>
            </w:r>
          </w:p>
        </w:tc>
        <w:tc>
          <w:tcPr>
            <w:tcW w:w="990"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526</w:t>
            </w:r>
          </w:p>
        </w:tc>
        <w:tc>
          <w:tcPr>
            <w:tcW w:w="983" w:type="dxa"/>
            <w:tcBorders>
              <w:top w:val="nil"/>
              <w:left w:val="nil"/>
              <w:bottom w:val="single" w:sz="4"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r w:rsidR="004A2ECB">
              <w:rPr>
                <w:rFonts w:ascii="Arial Narrow" w:hAnsi="Arial Narrow"/>
                <w:b/>
                <w:bCs/>
                <w:sz w:val="18"/>
                <w:szCs w:val="18"/>
              </w:rPr>
              <w:t>,</w:t>
            </w:r>
            <w:r w:rsidRPr="00AD151D">
              <w:rPr>
                <w:rFonts w:ascii="Arial Narrow" w:hAnsi="Arial Narrow"/>
                <w:b/>
                <w:bCs/>
                <w:sz w:val="18"/>
                <w:szCs w:val="18"/>
              </w:rPr>
              <w:t>085</w:t>
            </w:r>
          </w:p>
        </w:tc>
        <w:tc>
          <w:tcPr>
            <w:tcW w:w="1447"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sz w:val="18"/>
                <w:szCs w:val="18"/>
              </w:rPr>
            </w:pPr>
            <w:r w:rsidRPr="00AD151D">
              <w:rPr>
                <w:rFonts w:ascii="Arial Narrow" w:hAnsi="Arial Narrow"/>
                <w:sz w:val="18"/>
                <w:szCs w:val="18"/>
              </w:rPr>
              <w:t>53</w:t>
            </w:r>
            <w:r w:rsidR="004A2ECB">
              <w:rPr>
                <w:rFonts w:ascii="Arial Narrow" w:hAnsi="Arial Narrow"/>
                <w:sz w:val="18"/>
                <w:szCs w:val="18"/>
              </w:rPr>
              <w:t>,</w:t>
            </w:r>
            <w:r w:rsidRPr="00AD151D">
              <w:rPr>
                <w:rFonts w:ascii="Arial Narrow" w:hAnsi="Arial Narrow"/>
                <w:sz w:val="18"/>
                <w:szCs w:val="18"/>
              </w:rPr>
              <w:t>079</w:t>
            </w:r>
          </w:p>
        </w:tc>
        <w:tc>
          <w:tcPr>
            <w:tcW w:w="1710" w:type="dxa"/>
            <w:tcBorders>
              <w:top w:val="nil"/>
              <w:left w:val="nil"/>
              <w:bottom w:val="single" w:sz="4"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103%</w:t>
            </w:r>
          </w:p>
        </w:tc>
      </w:tr>
      <w:tr w:rsidR="00EC35C4" w:rsidRPr="00AD151D" w:rsidTr="00277DC8">
        <w:trPr>
          <w:trHeight w:val="81"/>
        </w:trPr>
        <w:tc>
          <w:tcPr>
            <w:tcW w:w="630" w:type="dxa"/>
            <w:vMerge/>
            <w:tcBorders>
              <w:top w:val="nil"/>
              <w:left w:val="single" w:sz="4" w:space="0" w:color="auto"/>
              <w:bottom w:val="single" w:sz="4" w:space="0" w:color="auto"/>
              <w:right w:val="single" w:sz="4" w:space="0" w:color="auto"/>
            </w:tcBorders>
            <w:vAlign w:val="center"/>
          </w:tcPr>
          <w:p w:rsidR="00AE7D50" w:rsidRPr="00AD151D" w:rsidRDefault="00AE7D50">
            <w:pPr>
              <w:rPr>
                <w:rFonts w:ascii="Arial Narrow" w:hAnsi="Arial Narrow"/>
                <w:b/>
                <w:bCs/>
                <w:sz w:val="18"/>
                <w:szCs w:val="18"/>
              </w:rPr>
            </w:pPr>
          </w:p>
        </w:tc>
        <w:tc>
          <w:tcPr>
            <w:tcW w:w="1170" w:type="dxa"/>
            <w:tcBorders>
              <w:top w:val="nil"/>
              <w:left w:val="nil"/>
              <w:bottom w:val="single" w:sz="8" w:space="0" w:color="auto"/>
              <w:right w:val="single" w:sz="4" w:space="0" w:color="auto"/>
            </w:tcBorders>
            <w:noWrap/>
          </w:tcPr>
          <w:p w:rsidR="00AE7D50" w:rsidRPr="00AD151D" w:rsidRDefault="00AE7D50">
            <w:pPr>
              <w:jc w:val="center"/>
              <w:rPr>
                <w:rFonts w:ascii="Arial Narrow" w:hAnsi="Arial Narrow"/>
                <w:b/>
                <w:bCs/>
                <w:sz w:val="17"/>
                <w:szCs w:val="17"/>
              </w:rPr>
            </w:pPr>
            <w:r w:rsidRPr="00AD151D">
              <w:rPr>
                <w:rFonts w:ascii="Arial Narrow" w:hAnsi="Arial Narrow"/>
                <w:b/>
                <w:bCs/>
                <w:sz w:val="17"/>
                <w:szCs w:val="17"/>
              </w:rPr>
              <w:t>% of Capacity</w:t>
            </w:r>
          </w:p>
        </w:tc>
        <w:tc>
          <w:tcPr>
            <w:tcW w:w="900" w:type="dxa"/>
            <w:tcBorders>
              <w:top w:val="nil"/>
              <w:left w:val="nil"/>
              <w:bottom w:val="single" w:sz="8"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170" w:type="dxa"/>
            <w:tcBorders>
              <w:top w:val="nil"/>
              <w:left w:val="nil"/>
              <w:bottom w:val="single" w:sz="8" w:space="0" w:color="auto"/>
              <w:right w:val="single" w:sz="4" w:space="0" w:color="auto"/>
            </w:tcBorders>
            <w:noWrap/>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c>
          <w:tcPr>
            <w:tcW w:w="126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77%</w:t>
            </w:r>
          </w:p>
        </w:tc>
        <w:tc>
          <w:tcPr>
            <w:tcW w:w="90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3%</w:t>
            </w:r>
          </w:p>
        </w:tc>
        <w:tc>
          <w:tcPr>
            <w:tcW w:w="8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w:t>
            </w:r>
          </w:p>
        </w:tc>
        <w:tc>
          <w:tcPr>
            <w:tcW w:w="135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6%</w:t>
            </w:r>
          </w:p>
        </w:tc>
        <w:tc>
          <w:tcPr>
            <w:tcW w:w="99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w:t>
            </w:r>
          </w:p>
        </w:tc>
        <w:tc>
          <w:tcPr>
            <w:tcW w:w="983"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2%</w:t>
            </w:r>
          </w:p>
        </w:tc>
        <w:tc>
          <w:tcPr>
            <w:tcW w:w="1447"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100%</w:t>
            </w:r>
          </w:p>
        </w:tc>
        <w:tc>
          <w:tcPr>
            <w:tcW w:w="1710" w:type="dxa"/>
            <w:tcBorders>
              <w:top w:val="nil"/>
              <w:left w:val="nil"/>
              <w:bottom w:val="single" w:sz="8" w:space="0" w:color="auto"/>
              <w:right w:val="single" w:sz="4" w:space="0" w:color="auto"/>
            </w:tcBorders>
            <w:vAlign w:val="center"/>
          </w:tcPr>
          <w:p w:rsidR="00AE7D50" w:rsidRPr="00AD151D" w:rsidRDefault="00AE7D50">
            <w:pPr>
              <w:jc w:val="center"/>
              <w:rPr>
                <w:rFonts w:ascii="Arial Narrow" w:hAnsi="Arial Narrow"/>
                <w:b/>
                <w:bCs/>
                <w:sz w:val="18"/>
                <w:szCs w:val="18"/>
              </w:rPr>
            </w:pPr>
            <w:r w:rsidRPr="00AD151D">
              <w:rPr>
                <w:rFonts w:ascii="Arial Narrow" w:hAnsi="Arial Narrow"/>
                <w:b/>
                <w:bCs/>
                <w:sz w:val="18"/>
                <w:szCs w:val="18"/>
              </w:rPr>
              <w:t> </w:t>
            </w:r>
          </w:p>
        </w:tc>
      </w:tr>
    </w:tbl>
    <w:p w:rsidR="004A2ECB" w:rsidRDefault="00AE7D50" w:rsidP="009B4E2A">
      <w:pPr>
        <w:keepNext/>
        <w:keepLines/>
        <w:spacing w:before="120"/>
        <w:rPr>
          <w:sz w:val="20"/>
          <w:szCs w:val="20"/>
        </w:rPr>
      </w:pPr>
      <w:r w:rsidRPr="00AD151D">
        <w:rPr>
          <w:sz w:val="20"/>
          <w:szCs w:val="20"/>
        </w:rPr>
        <w:t>Source: Aggregated RA data collected by CPUC along with</w:t>
      </w:r>
      <w:r w:rsidR="00997EC4">
        <w:rPr>
          <w:sz w:val="20"/>
          <w:szCs w:val="20"/>
        </w:rPr>
        <w:t xml:space="preserve"> Non-CPUC jurisdictional data from CAISO</w:t>
      </w:r>
    </w:p>
    <w:p w:rsidR="004A2ECB" w:rsidRDefault="004A2ECB">
      <w:pPr>
        <w:rPr>
          <w:sz w:val="20"/>
          <w:szCs w:val="20"/>
        </w:rPr>
      </w:pPr>
      <w:r>
        <w:rPr>
          <w:sz w:val="20"/>
          <w:szCs w:val="20"/>
        </w:rPr>
        <w:br w:type="page"/>
      </w:r>
    </w:p>
    <w:p w:rsidR="004B2D02" w:rsidRPr="00277DC8" w:rsidRDefault="004A2ECB" w:rsidP="00FE3F7D">
      <w:pPr>
        <w:pStyle w:val="Heading1"/>
        <w:numPr>
          <w:ilvl w:val="0"/>
          <w:numId w:val="18"/>
        </w:numPr>
        <w:rPr>
          <w:sz w:val="28"/>
          <w:szCs w:val="28"/>
        </w:rPr>
      </w:pPr>
      <w:bookmarkStart w:id="153" w:name="_Toc347827070"/>
      <w:r w:rsidRPr="00277DC8">
        <w:rPr>
          <w:sz w:val="28"/>
          <w:szCs w:val="28"/>
        </w:rPr>
        <w:lastRenderedPageBreak/>
        <w:t>Appendix 2</w:t>
      </w:r>
      <w:bookmarkEnd w:id="153"/>
      <w:r w:rsidR="004B2D02" w:rsidRPr="00277DC8">
        <w:rPr>
          <w:sz w:val="28"/>
          <w:szCs w:val="28"/>
        </w:rPr>
        <w:t xml:space="preserve"> </w:t>
      </w:r>
    </w:p>
    <w:p w:rsidR="004A2ECB" w:rsidRPr="004B2D02" w:rsidRDefault="004A2ECB" w:rsidP="00FE3F7D">
      <w:pPr>
        <w:pStyle w:val="Caption"/>
      </w:pPr>
      <w:bookmarkStart w:id="154" w:name="_Toc347827089"/>
      <w:r w:rsidRPr="004B2D02">
        <w:t xml:space="preserve">Table </w:t>
      </w:r>
      <w:r w:rsidRPr="004B2D02">
        <w:fldChar w:fldCharType="begin"/>
      </w:r>
      <w:r w:rsidRPr="00FE3F7D">
        <w:instrText xml:space="preserve"> SEQ Table \* ARABIC </w:instrText>
      </w:r>
      <w:r w:rsidRPr="004B2D02">
        <w:fldChar w:fldCharType="separate"/>
      </w:r>
      <w:r w:rsidR="00B3535E">
        <w:rPr>
          <w:noProof/>
        </w:rPr>
        <w:t>19</w:t>
      </w:r>
      <w:r w:rsidRPr="004B2D02">
        <w:fldChar w:fldCharType="end"/>
      </w:r>
      <w:r w:rsidRPr="004B2D02">
        <w:t xml:space="preserve"> ExD by reason and by month</w:t>
      </w:r>
      <w:r w:rsidR="00AB7C54">
        <w:t xml:space="preserve"> (MWh)</w:t>
      </w:r>
      <w:bookmarkEnd w:id="154"/>
    </w:p>
    <w:tbl>
      <w:tblPr>
        <w:tblW w:w="12944" w:type="dxa"/>
        <w:tblLayout w:type="fixed"/>
        <w:tblCellMar>
          <w:left w:w="58" w:type="dxa"/>
          <w:right w:w="58" w:type="dxa"/>
        </w:tblCellMar>
        <w:tblLook w:val="0000" w:firstRow="0" w:lastRow="0" w:firstColumn="0" w:lastColumn="0" w:noHBand="0" w:noVBand="0"/>
      </w:tblPr>
      <w:tblGrid>
        <w:gridCol w:w="2128"/>
        <w:gridCol w:w="990"/>
        <w:gridCol w:w="810"/>
        <w:gridCol w:w="810"/>
        <w:gridCol w:w="810"/>
        <w:gridCol w:w="900"/>
        <w:gridCol w:w="720"/>
        <w:gridCol w:w="810"/>
        <w:gridCol w:w="900"/>
        <w:gridCol w:w="900"/>
        <w:gridCol w:w="720"/>
        <w:gridCol w:w="720"/>
        <w:gridCol w:w="888"/>
        <w:gridCol w:w="838"/>
      </w:tblGrid>
      <w:tr w:rsidR="00AB7C54" w:rsidRPr="00FE3F7D" w:rsidTr="00277DC8">
        <w:trPr>
          <w:trHeight w:val="183"/>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AB7C54">
            <w:pPr>
              <w:autoSpaceDE w:val="0"/>
              <w:autoSpaceDN w:val="0"/>
              <w:adjustRightInd w:val="0"/>
              <w:rPr>
                <w:color w:val="000000"/>
                <w:sz w:val="18"/>
                <w:szCs w:val="18"/>
              </w:rPr>
            </w:pPr>
            <w:r w:rsidRPr="00FE3F7D">
              <w:rPr>
                <w:color w:val="000000"/>
                <w:sz w:val="18"/>
                <w:szCs w:val="18"/>
              </w:rPr>
              <w:t xml:space="preserve">2011 Total </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Jan-11</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Feb-11</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Mar-11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Apr-11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May-11</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Jun-11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Jul-11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Aug-11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Sep-11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Oct-11</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Nov-11</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Dec-11</w:t>
            </w:r>
          </w:p>
        </w:tc>
      </w:tr>
      <w:tr w:rsidR="00AB7C54" w:rsidRPr="00FE3F7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Dispatchability</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215973</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19544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21574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13112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16044</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649</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34785</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22400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12449</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40488</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13350</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15471</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6107</w:t>
            </w:r>
          </w:p>
        </w:tc>
      </w:tr>
      <w:tr w:rsidR="00AB7C54" w:rsidRPr="00FE3F7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Forecast Uncertainty</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10360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1127</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1673</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1057</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6488</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14</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r>
      <w:tr w:rsidR="00AB7C54" w:rsidRPr="00FE3F7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Generation procedure</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59275</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187</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1671</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22543</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4941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599</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436</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695</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11415</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1995</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11237</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3557</w:t>
            </w:r>
          </w:p>
        </w:tc>
      </w:tr>
      <w:tr w:rsidR="00AB7C54" w:rsidRPr="00FE3F7D" w:rsidTr="00277DC8">
        <w:trPr>
          <w:trHeight w:val="426"/>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Generation/ Transmission Outage</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268603</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8934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34668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53016</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33235</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8109</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7752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10478</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3391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42643</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39359</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21340</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5677</w:t>
            </w:r>
          </w:p>
        </w:tc>
      </w:tr>
      <w:tr w:rsidR="00AB7C54" w:rsidRPr="00FE3F7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Software Limitation</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135986</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22538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13251</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16128</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4195</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3403</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14233</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10865</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6284</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17923</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17502</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6139</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3524</w:t>
            </w:r>
          </w:p>
        </w:tc>
      </w:tr>
      <w:tr w:rsidR="00AB7C54" w:rsidRPr="00FE3F7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System Reliability</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197495</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6283</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12990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23649</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9546</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8594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25701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55442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3502</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50521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164</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1104</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r>
      <w:tr w:rsidR="00AB7C54" w:rsidRPr="00FE3F7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Transmission Mitigation</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52642</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544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1232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8361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1168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1803</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12379</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352</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18484</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2522</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5797</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r>
      <w:tr w:rsidR="00AB7C54" w:rsidRPr="00FE3F7D" w:rsidTr="00277DC8">
        <w:trPr>
          <w:trHeight w:val="273"/>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Transmission</w:t>
            </w:r>
            <w:r w:rsidR="00FE3F7D">
              <w:rPr>
                <w:color w:val="000000"/>
                <w:sz w:val="18"/>
                <w:szCs w:val="18"/>
              </w:rPr>
              <w:t xml:space="preserve"> </w:t>
            </w:r>
            <w:r w:rsidRPr="00FE3F7D">
              <w:rPr>
                <w:color w:val="000000"/>
                <w:sz w:val="18"/>
                <w:szCs w:val="18"/>
              </w:rPr>
              <w:t>procedure</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155459</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9024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67775</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5613</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4624</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5068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11272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18938</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7554</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15677</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6439</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28</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3448</w:t>
            </w:r>
          </w:p>
        </w:tc>
      </w:tr>
      <w:tr w:rsidR="00AB7C54" w:rsidRPr="00FE3F7D" w:rsidTr="00277DC8">
        <w:trPr>
          <w:trHeight w:val="147"/>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Unit Testing</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44047</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7909</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1388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12294</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4219</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7135</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7312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122</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194</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2491</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960</w:t>
            </w:r>
          </w:p>
        </w:tc>
      </w:tr>
      <w:tr w:rsidR="00AB7C54" w:rsidRPr="00FE3F7D" w:rsidTr="00277DC8">
        <w:trPr>
          <w:trHeight w:val="192"/>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Zonal Import Limits</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487</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45</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15</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427</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r>
      <w:tr w:rsidR="00AB7C54" w:rsidRPr="00FE3F7D" w:rsidTr="00277DC8">
        <w:trPr>
          <w:trHeight w:val="290"/>
        </w:trPr>
        <w:tc>
          <w:tcPr>
            <w:tcW w:w="2128" w:type="dxa"/>
            <w:tcBorders>
              <w:top w:val="nil"/>
              <w:left w:val="single" w:sz="6" w:space="0" w:color="auto"/>
              <w:bottom w:val="nil"/>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Other</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138833</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7456</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13435</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993</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2955</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183</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8</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3771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17376</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67431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18981</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639</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5605</w:t>
            </w:r>
          </w:p>
        </w:tc>
      </w:tr>
      <w:tr w:rsidR="00AB7C54" w:rsidRPr="00FE3F7D" w:rsidTr="00277DC8">
        <w:trPr>
          <w:trHeight w:val="21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Total</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1279159</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82465</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166767</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148581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89673</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34907</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104974</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136047</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51030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271072</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100522</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64246</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28877</w:t>
            </w:r>
          </w:p>
        </w:tc>
      </w:tr>
      <w:tr w:rsidR="00AB7C54" w:rsidRPr="00FE3F7D" w:rsidTr="00277DC8">
        <w:trPr>
          <w:trHeight w:val="147"/>
        </w:trPr>
        <w:tc>
          <w:tcPr>
            <w:tcW w:w="2128"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99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81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81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81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90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72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81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90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90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72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720"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888"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c>
          <w:tcPr>
            <w:tcW w:w="838" w:type="dxa"/>
            <w:tcBorders>
              <w:top w:val="nil"/>
              <w:left w:val="nil"/>
              <w:bottom w:val="nil"/>
              <w:right w:val="nil"/>
            </w:tcBorders>
          </w:tcPr>
          <w:p w:rsidR="004A2ECB" w:rsidRPr="00FE3F7D" w:rsidRDefault="004A2ECB" w:rsidP="00FE3F7D">
            <w:pPr>
              <w:autoSpaceDE w:val="0"/>
              <w:autoSpaceDN w:val="0"/>
              <w:adjustRightInd w:val="0"/>
              <w:jc w:val="right"/>
              <w:rPr>
                <w:color w:val="000000"/>
                <w:sz w:val="18"/>
                <w:szCs w:val="18"/>
              </w:rPr>
            </w:pPr>
          </w:p>
        </w:tc>
      </w:tr>
      <w:tr w:rsidR="00AB7C54" w:rsidRPr="00FE3F7D" w:rsidTr="00277DC8">
        <w:trPr>
          <w:trHeight w:val="165"/>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AB7C54">
            <w:pPr>
              <w:autoSpaceDE w:val="0"/>
              <w:autoSpaceDN w:val="0"/>
              <w:adjustRightInd w:val="0"/>
              <w:rPr>
                <w:color w:val="000000"/>
                <w:sz w:val="18"/>
                <w:szCs w:val="18"/>
              </w:rPr>
            </w:pPr>
            <w:r w:rsidRPr="00FE3F7D">
              <w:rPr>
                <w:color w:val="000000"/>
                <w:sz w:val="18"/>
                <w:szCs w:val="18"/>
              </w:rPr>
              <w:t xml:space="preserve">2010 Total </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Jan-10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Feb-10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Mar-10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Apr-10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May-10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Jun-10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Jul-10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Aug-10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Sep-10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Oct-10</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Nov-10</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Dec-10</w:t>
            </w:r>
          </w:p>
        </w:tc>
      </w:tr>
      <w:tr w:rsidR="00AB7C54" w:rsidRPr="00FE3F7D" w:rsidTr="00277DC8">
        <w:trPr>
          <w:trHeight w:val="237"/>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Dispatchability</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137094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3605</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284</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1569</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773</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16672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45951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26574</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12275</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7286</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16245</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5861</w:t>
            </w:r>
          </w:p>
        </w:tc>
      </w:tr>
      <w:tr w:rsidR="00AB7C54" w:rsidRPr="00FE3F7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Forecast Uncertainty</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13108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11992</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1116</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r>
      <w:tr w:rsidR="00AB7C54" w:rsidRPr="00FE3F7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Generation procedure</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51339</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1891</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12968</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8060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4968</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4021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12172</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5010</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2201</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47</w:t>
            </w:r>
          </w:p>
        </w:tc>
      </w:tr>
      <w:tr w:rsidR="00AB7C54" w:rsidRPr="00FE3F7D" w:rsidTr="00277DC8">
        <w:trPr>
          <w:trHeight w:val="381"/>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Generation/ Transmission Outage</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267650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11966</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7547</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32841</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45039</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49902</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18392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9237</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9023</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7614</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24371</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40004</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11714</w:t>
            </w:r>
          </w:p>
        </w:tc>
      </w:tr>
      <w:tr w:rsidR="00AB7C54" w:rsidRPr="00FE3F7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18"/>
                <w:szCs w:val="18"/>
              </w:rPr>
            </w:pPr>
            <w:r w:rsidRPr="00FE3F7D">
              <w:rPr>
                <w:color w:val="000000"/>
                <w:sz w:val="18"/>
                <w:szCs w:val="18"/>
              </w:rPr>
              <w:t>Software Limitation</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119617</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6703</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2190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3263</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5289</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9600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9198</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6019</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17787</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22180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18444</w:t>
            </w:r>
          </w:p>
        </w:tc>
        <w:tc>
          <w:tcPr>
            <w:tcW w:w="88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6411</w:t>
            </w:r>
          </w:p>
        </w:tc>
        <w:tc>
          <w:tcPr>
            <w:tcW w:w="83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18"/>
                <w:szCs w:val="18"/>
              </w:rPr>
            </w:pPr>
            <w:r w:rsidRPr="00FE3F7D">
              <w:rPr>
                <w:color w:val="000000"/>
                <w:sz w:val="18"/>
                <w:szCs w:val="18"/>
              </w:rPr>
              <w:t>12533</w:t>
            </w:r>
          </w:p>
        </w:tc>
      </w:tr>
      <w:tr w:rsidR="00AB7C54" w:rsidRPr="00AD151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20"/>
                <w:szCs w:val="20"/>
              </w:rPr>
            </w:pPr>
            <w:r w:rsidRPr="00FE3F7D">
              <w:rPr>
                <w:color w:val="000000"/>
                <w:sz w:val="20"/>
                <w:szCs w:val="20"/>
              </w:rPr>
              <w:t>System Reliability</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257691</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16640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3108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8904</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1620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1619</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40229</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46094</w:t>
            </w:r>
          </w:p>
        </w:tc>
        <w:tc>
          <w:tcPr>
            <w:tcW w:w="90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131469</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260</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267</w:t>
            </w:r>
          </w:p>
        </w:tc>
        <w:tc>
          <w:tcPr>
            <w:tcW w:w="88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4958</w:t>
            </w:r>
          </w:p>
        </w:tc>
        <w:tc>
          <w:tcPr>
            <w:tcW w:w="838" w:type="dxa"/>
            <w:tcBorders>
              <w:top w:val="single" w:sz="6" w:space="0" w:color="auto"/>
              <w:left w:val="single" w:sz="6" w:space="0" w:color="auto"/>
              <w:bottom w:val="single" w:sz="6" w:space="0" w:color="auto"/>
              <w:right w:val="single" w:sz="6" w:space="0" w:color="auto"/>
            </w:tcBorders>
          </w:tcPr>
          <w:p w:rsidR="004A2ECB" w:rsidRPr="009F38FB" w:rsidRDefault="004A2ECB" w:rsidP="00FE3F7D">
            <w:pPr>
              <w:autoSpaceDE w:val="0"/>
              <w:autoSpaceDN w:val="0"/>
              <w:adjustRightInd w:val="0"/>
              <w:jc w:val="right"/>
              <w:rPr>
                <w:color w:val="000000"/>
                <w:sz w:val="20"/>
                <w:szCs w:val="20"/>
              </w:rPr>
            </w:pPr>
            <w:r w:rsidRPr="009F38FB">
              <w:rPr>
                <w:color w:val="000000"/>
                <w:sz w:val="20"/>
                <w:szCs w:val="20"/>
              </w:rPr>
              <w:t>2522</w:t>
            </w:r>
          </w:p>
        </w:tc>
      </w:tr>
      <w:tr w:rsidR="00AB7C54" w:rsidRPr="00AD151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20"/>
                <w:szCs w:val="20"/>
              </w:rPr>
            </w:pPr>
            <w:r w:rsidRPr="00FE3F7D">
              <w:rPr>
                <w:color w:val="000000"/>
                <w:sz w:val="20"/>
                <w:szCs w:val="20"/>
              </w:rPr>
              <w:t>Transmission Mitigation</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85702</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386</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524</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13652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37267</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17809</w:t>
            </w:r>
          </w:p>
        </w:tc>
        <w:tc>
          <w:tcPr>
            <w:tcW w:w="88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15958</w:t>
            </w:r>
          </w:p>
        </w:tc>
        <w:tc>
          <w:tcPr>
            <w:tcW w:w="83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107</w:t>
            </w:r>
          </w:p>
        </w:tc>
      </w:tr>
      <w:tr w:rsidR="00AB7C54" w:rsidRPr="00AD151D" w:rsidTr="00277DC8">
        <w:trPr>
          <w:trHeight w:val="282"/>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20"/>
                <w:szCs w:val="20"/>
              </w:rPr>
            </w:pPr>
            <w:r w:rsidRPr="00FE3F7D">
              <w:rPr>
                <w:color w:val="000000"/>
                <w:sz w:val="20"/>
                <w:szCs w:val="20"/>
              </w:rPr>
              <w:t>Transmission procedure</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299429</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3423</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1581</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33463</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48421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7030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5196</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53039</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38328</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30476</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47859</w:t>
            </w:r>
          </w:p>
        </w:tc>
        <w:tc>
          <w:tcPr>
            <w:tcW w:w="88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26688</w:t>
            </w:r>
          </w:p>
        </w:tc>
        <w:tc>
          <w:tcPr>
            <w:tcW w:w="83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3927</w:t>
            </w:r>
          </w:p>
        </w:tc>
      </w:tr>
      <w:tr w:rsidR="00AB7C54" w:rsidRPr="00AD151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20"/>
                <w:szCs w:val="20"/>
              </w:rPr>
            </w:pPr>
            <w:r w:rsidRPr="00FE3F7D">
              <w:rPr>
                <w:color w:val="000000"/>
                <w:sz w:val="20"/>
                <w:szCs w:val="20"/>
              </w:rPr>
              <w:t>Unit Testing</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85508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192</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491</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215</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64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145</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1152</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276</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3191</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177</w:t>
            </w:r>
          </w:p>
        </w:tc>
        <w:tc>
          <w:tcPr>
            <w:tcW w:w="88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202</w:t>
            </w:r>
          </w:p>
        </w:tc>
        <w:tc>
          <w:tcPr>
            <w:tcW w:w="83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79404</w:t>
            </w:r>
          </w:p>
        </w:tc>
      </w:tr>
      <w:tr w:rsidR="00AB7C54" w:rsidRPr="00AD151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20"/>
                <w:szCs w:val="20"/>
              </w:rPr>
            </w:pPr>
            <w:r w:rsidRPr="00FE3F7D">
              <w:rPr>
                <w:color w:val="000000"/>
                <w:sz w:val="20"/>
                <w:szCs w:val="20"/>
              </w:rPr>
              <w:t>Zonal Import Limits</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17348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8660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677</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4935</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188</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1606</w:t>
            </w:r>
          </w:p>
        </w:tc>
        <w:tc>
          <w:tcPr>
            <w:tcW w:w="88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1282</w:t>
            </w:r>
          </w:p>
        </w:tc>
        <w:tc>
          <w:tcPr>
            <w:tcW w:w="83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0</w:t>
            </w:r>
          </w:p>
        </w:tc>
      </w:tr>
      <w:tr w:rsidR="00AB7C54" w:rsidRPr="00AD151D" w:rsidTr="00277DC8">
        <w:trPr>
          <w:trHeight w:val="290"/>
        </w:trPr>
        <w:tc>
          <w:tcPr>
            <w:tcW w:w="2128" w:type="dxa"/>
            <w:tcBorders>
              <w:top w:val="nil"/>
              <w:left w:val="single" w:sz="6" w:space="0" w:color="auto"/>
              <w:bottom w:val="nil"/>
              <w:right w:val="single" w:sz="6" w:space="0" w:color="auto"/>
            </w:tcBorders>
          </w:tcPr>
          <w:p w:rsidR="004A2ECB" w:rsidRPr="00FE3F7D" w:rsidRDefault="004A2ECB" w:rsidP="00FE3F7D">
            <w:pPr>
              <w:autoSpaceDE w:val="0"/>
              <w:autoSpaceDN w:val="0"/>
              <w:adjustRightInd w:val="0"/>
              <w:rPr>
                <w:color w:val="000000"/>
                <w:sz w:val="20"/>
                <w:szCs w:val="20"/>
              </w:rPr>
            </w:pPr>
            <w:r w:rsidRPr="00FE3F7D">
              <w:rPr>
                <w:color w:val="000000"/>
                <w:sz w:val="20"/>
                <w:szCs w:val="20"/>
              </w:rPr>
              <w:t>Other</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16422</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1522</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0</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70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981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352</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2096</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528</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2151</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470</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1911</w:t>
            </w:r>
          </w:p>
        </w:tc>
        <w:tc>
          <w:tcPr>
            <w:tcW w:w="88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201</w:t>
            </w:r>
          </w:p>
        </w:tc>
        <w:tc>
          <w:tcPr>
            <w:tcW w:w="83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6140</w:t>
            </w:r>
          </w:p>
        </w:tc>
      </w:tr>
      <w:tr w:rsidR="00AB7C54" w:rsidRPr="00AD151D" w:rsidTr="00277DC8">
        <w:trPr>
          <w:trHeight w:val="290"/>
        </w:trPr>
        <w:tc>
          <w:tcPr>
            <w:tcW w:w="2128"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rPr>
                <w:color w:val="000000"/>
                <w:sz w:val="20"/>
                <w:szCs w:val="20"/>
              </w:rPr>
            </w:pPr>
            <w:r w:rsidRPr="00FE3F7D">
              <w:rPr>
                <w:color w:val="000000"/>
                <w:sz w:val="20"/>
                <w:szCs w:val="20"/>
              </w:rPr>
              <w:t>Total</w:t>
            </w:r>
          </w:p>
        </w:tc>
        <w:tc>
          <w:tcPr>
            <w:tcW w:w="99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1350908</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66594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15594</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79040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120821</w:t>
            </w:r>
          </w:p>
        </w:tc>
        <w:tc>
          <w:tcPr>
            <w:tcW w:w="72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77786</w:t>
            </w:r>
          </w:p>
        </w:tc>
        <w:tc>
          <w:tcPr>
            <w:tcW w:w="81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97420</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179694</w:t>
            </w:r>
          </w:p>
        </w:tc>
        <w:tc>
          <w:tcPr>
            <w:tcW w:w="900" w:type="dxa"/>
            <w:tcBorders>
              <w:top w:val="single" w:sz="6" w:space="0" w:color="auto"/>
              <w:left w:val="single" w:sz="6" w:space="0" w:color="auto"/>
              <w:bottom w:val="single" w:sz="6" w:space="0" w:color="auto"/>
              <w:right w:val="single" w:sz="6" w:space="0" w:color="auto"/>
            </w:tcBorders>
          </w:tcPr>
          <w:p w:rsidR="004A2ECB" w:rsidRPr="00FE3F7D" w:rsidRDefault="004A2ECB" w:rsidP="00FE3F7D">
            <w:pPr>
              <w:autoSpaceDE w:val="0"/>
              <w:autoSpaceDN w:val="0"/>
              <w:adjustRightInd w:val="0"/>
              <w:jc w:val="right"/>
              <w:rPr>
                <w:color w:val="000000"/>
                <w:sz w:val="20"/>
                <w:szCs w:val="20"/>
              </w:rPr>
            </w:pPr>
            <w:r w:rsidRPr="00FE3F7D">
              <w:rPr>
                <w:color w:val="000000"/>
                <w:sz w:val="20"/>
                <w:szCs w:val="20"/>
              </w:rPr>
              <w:t>225608</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127208</w:t>
            </w:r>
          </w:p>
        </w:tc>
        <w:tc>
          <w:tcPr>
            <w:tcW w:w="720"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124740</w:t>
            </w:r>
          </w:p>
        </w:tc>
        <w:tc>
          <w:tcPr>
            <w:tcW w:w="88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114150</w:t>
            </w:r>
          </w:p>
        </w:tc>
        <w:tc>
          <w:tcPr>
            <w:tcW w:w="838" w:type="dxa"/>
            <w:tcBorders>
              <w:top w:val="single" w:sz="6" w:space="0" w:color="auto"/>
              <w:left w:val="single" w:sz="6" w:space="0" w:color="auto"/>
              <w:bottom w:val="single" w:sz="6" w:space="0" w:color="auto"/>
              <w:right w:val="single" w:sz="6" w:space="0" w:color="auto"/>
            </w:tcBorders>
          </w:tcPr>
          <w:p w:rsidR="004A2ECB" w:rsidRPr="006645E2" w:rsidRDefault="004A2ECB" w:rsidP="00FE3F7D">
            <w:pPr>
              <w:autoSpaceDE w:val="0"/>
              <w:autoSpaceDN w:val="0"/>
              <w:adjustRightInd w:val="0"/>
              <w:jc w:val="right"/>
              <w:rPr>
                <w:color w:val="000000"/>
                <w:sz w:val="20"/>
                <w:szCs w:val="20"/>
              </w:rPr>
            </w:pPr>
            <w:r w:rsidRPr="006645E2">
              <w:rPr>
                <w:color w:val="000000"/>
                <w:sz w:val="20"/>
                <w:szCs w:val="20"/>
              </w:rPr>
              <w:t>122253</w:t>
            </w:r>
          </w:p>
        </w:tc>
      </w:tr>
    </w:tbl>
    <w:p w:rsidR="004A2ECB" w:rsidRPr="00277DC8" w:rsidRDefault="00AB7C54" w:rsidP="009B4E2A">
      <w:pPr>
        <w:keepNext/>
        <w:keepLines/>
        <w:spacing w:before="120"/>
        <w:rPr>
          <w:sz w:val="20"/>
          <w:szCs w:val="20"/>
        </w:rPr>
      </w:pPr>
      <w:r w:rsidRPr="00277DC8">
        <w:rPr>
          <w:sz w:val="20"/>
          <w:szCs w:val="20"/>
        </w:rPr>
        <w:t>Source: ExD reports downloaded from CAISO website</w:t>
      </w:r>
    </w:p>
    <w:sectPr w:rsidR="004A2ECB" w:rsidRPr="00277DC8" w:rsidSect="00997EC4">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4B" w:rsidRDefault="00C2504B">
      <w:r>
        <w:separator/>
      </w:r>
    </w:p>
  </w:endnote>
  <w:endnote w:type="continuationSeparator" w:id="0">
    <w:p w:rsidR="00C2504B" w:rsidRDefault="00C2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04B" w:rsidRDefault="00C250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504B" w:rsidRDefault="00C250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04B" w:rsidRDefault="00C2504B" w:rsidP="00A54B87">
    <w:pPr>
      <w:pStyle w:val="Footer"/>
    </w:pPr>
    <w:r>
      <w:t xml:space="preserve">February </w:t>
    </w:r>
    <w:r w:rsidR="00B3535E">
      <w:t>5</w:t>
    </w:r>
    <w:r>
      <w:t>, 2013</w:t>
    </w:r>
  </w:p>
  <w:p w:rsidR="00C2504B" w:rsidRDefault="00B3535E">
    <w:pPr>
      <w:pStyle w:val="Footer"/>
      <w:jc w:val="right"/>
    </w:pPr>
    <w:sdt>
      <w:sdtPr>
        <w:id w:val="1672451115"/>
        <w:docPartObj>
          <w:docPartGallery w:val="Page Numbers (Bottom of Page)"/>
          <w:docPartUnique/>
        </w:docPartObj>
      </w:sdtPr>
      <w:sdtEndPr>
        <w:rPr>
          <w:noProof/>
        </w:rPr>
      </w:sdtEndPr>
      <w:sdtContent>
        <w:r w:rsidR="00C2504B">
          <w:fldChar w:fldCharType="begin"/>
        </w:r>
        <w:r w:rsidR="00C2504B">
          <w:instrText xml:space="preserve"> PAGE   \* MERGEFORMAT </w:instrText>
        </w:r>
        <w:r w:rsidR="00C2504B">
          <w:fldChar w:fldCharType="separate"/>
        </w:r>
        <w:r>
          <w:rPr>
            <w:noProof/>
          </w:rPr>
          <w:t>27</w:t>
        </w:r>
        <w:r w:rsidR="00C2504B">
          <w:rPr>
            <w:noProof/>
          </w:rPr>
          <w:fldChar w:fldCharType="end"/>
        </w:r>
      </w:sdtContent>
    </w:sdt>
  </w:p>
  <w:p w:rsidR="00C2504B" w:rsidRDefault="00C250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04B" w:rsidRDefault="00C2504B">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B3535E">
      <w:rPr>
        <w:rStyle w:val="PageNumber"/>
        <w:noProof/>
      </w:rPr>
      <w:t>33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4B" w:rsidRDefault="00C2504B">
      <w:r>
        <w:separator/>
      </w:r>
    </w:p>
  </w:footnote>
  <w:footnote w:type="continuationSeparator" w:id="0">
    <w:p w:rsidR="00C2504B" w:rsidRDefault="00C2504B">
      <w:r>
        <w:continuationSeparator/>
      </w:r>
    </w:p>
  </w:footnote>
  <w:footnote w:id="1">
    <w:p w:rsidR="00C2504B" w:rsidRDefault="00C2504B">
      <w:pPr>
        <w:pStyle w:val="FootnoteText"/>
      </w:pPr>
      <w:r>
        <w:rPr>
          <w:rStyle w:val="FootnoteReference"/>
        </w:rPr>
        <w:footnoteRef/>
      </w:r>
      <w:r>
        <w:t xml:space="preserve"> Commission Jurisdictional LSEs include all Investor Owned Utilities (IOUs) Electricity Service Providers (ESPs) and Community Choice Aggregators (CCAs)</w:t>
      </w:r>
    </w:p>
  </w:footnote>
  <w:footnote w:id="2">
    <w:p w:rsidR="00C2504B" w:rsidRDefault="00C2504B" w:rsidP="00F4122E">
      <w:pPr>
        <w:pStyle w:val="FootnoteText"/>
      </w:pPr>
      <w:r>
        <w:rPr>
          <w:rStyle w:val="FootnoteReference"/>
        </w:rPr>
        <w:footnoteRef/>
      </w:r>
      <w:r>
        <w:t xml:space="preserve"> </w:t>
      </w:r>
      <w:r>
        <w:fldChar w:fldCharType="begin"/>
      </w:r>
      <w:r>
        <w:instrText xml:space="preserve"> REF _Ref347420896 \h </w:instrText>
      </w:r>
      <w:r>
        <w:fldChar w:fldCharType="separate"/>
      </w:r>
      <w:r w:rsidRPr="00AD151D">
        <w:t xml:space="preserve">Figure </w:t>
      </w:r>
      <w:r>
        <w:rPr>
          <w:noProof/>
        </w:rPr>
        <w:t>2</w:t>
      </w:r>
      <w:r w:rsidRPr="00AD151D">
        <w:t>. Total CAISO Summer 2011 Forward Procurement Obligation and Forward Procurement vs. LSE Demand Forecast and Actual Monthly Peak Demand (MW)</w:t>
      </w:r>
      <w:r>
        <w:fldChar w:fldCharType="end"/>
      </w:r>
      <w:r>
        <w:t>pg. 14</w:t>
      </w:r>
    </w:p>
  </w:footnote>
  <w:footnote w:id="3">
    <w:p w:rsidR="00C2504B" w:rsidRDefault="00C2504B" w:rsidP="005D1B72">
      <w:pPr>
        <w:pStyle w:val="FootnoteText"/>
      </w:pPr>
      <w:r>
        <w:rPr>
          <w:rStyle w:val="FootnoteReference"/>
        </w:rPr>
        <w:footnoteRef/>
      </w:r>
      <w:r>
        <w:t xml:space="preserve"> Ibid.</w:t>
      </w:r>
    </w:p>
  </w:footnote>
  <w:footnote w:id="4">
    <w:p w:rsidR="00C2504B" w:rsidRDefault="00C2504B" w:rsidP="005D1B72">
      <w:pPr>
        <w:pStyle w:val="FootnoteText"/>
      </w:pPr>
      <w:r>
        <w:rPr>
          <w:rStyle w:val="FootnoteReference"/>
        </w:rPr>
        <w:footnoteRef/>
      </w:r>
      <w:r>
        <w:fldChar w:fldCharType="begin"/>
      </w:r>
      <w:r>
        <w:instrText xml:space="preserve"> REF _Ref347421662 \h </w:instrText>
      </w:r>
      <w:r>
        <w:fldChar w:fldCharType="separate"/>
      </w:r>
      <w:r w:rsidRPr="00AD151D">
        <w:rPr>
          <w:sz w:val="22"/>
        </w:rPr>
        <w:t xml:space="preserve">Table </w:t>
      </w:r>
      <w:r>
        <w:rPr>
          <w:noProof/>
          <w:sz w:val="22"/>
        </w:rPr>
        <w:t>4</w:t>
      </w:r>
      <w:r w:rsidRPr="00AD151D">
        <w:rPr>
          <w:sz w:val="22"/>
        </w:rPr>
        <w:t>. 2011 RA Filing Summary - CPUC Jurisdictional Entities (MWs)</w:t>
      </w:r>
      <w:r>
        <w:fldChar w:fldCharType="end"/>
      </w:r>
      <w:r>
        <w:t xml:space="preserve"> pg. 11</w:t>
      </w:r>
    </w:p>
  </w:footnote>
  <w:footnote w:id="5">
    <w:p w:rsidR="00C2504B" w:rsidRDefault="00C2504B">
      <w:pPr>
        <w:pStyle w:val="FootnoteText"/>
      </w:pPr>
      <w:r>
        <w:rPr>
          <w:rStyle w:val="FootnoteReference"/>
        </w:rPr>
        <w:footnoteRef/>
      </w:r>
      <w:r>
        <w:t xml:space="preserve"> </w:t>
      </w:r>
      <w:r>
        <w:fldChar w:fldCharType="begin"/>
      </w:r>
      <w:r>
        <w:instrText xml:space="preserve"> REF _Ref347421466 \h </w:instrText>
      </w:r>
      <w:r>
        <w:fldChar w:fldCharType="separate"/>
      </w:r>
      <w:r w:rsidRPr="00AD151D">
        <w:t xml:space="preserve">Figure </w:t>
      </w:r>
      <w:r>
        <w:rPr>
          <w:noProof/>
        </w:rPr>
        <w:t>2</w:t>
      </w:r>
      <w:r w:rsidRPr="00AD151D">
        <w:t>. Total CAISO Summer 2011 Forward Procurement Obligation and Forward Procurement vs. LSE Demand Forecast and Actual Monthly Peak Demand (MW)</w:t>
      </w:r>
      <w:r>
        <w:fldChar w:fldCharType="end"/>
      </w:r>
      <w:r>
        <w:t>Pg. 14</w:t>
      </w:r>
    </w:p>
  </w:footnote>
  <w:footnote w:id="6">
    <w:p w:rsidR="00C2504B" w:rsidRDefault="00C2504B" w:rsidP="00732319">
      <w:pPr>
        <w:pStyle w:val="FootnoteText"/>
      </w:pPr>
      <w:r>
        <w:rPr>
          <w:rStyle w:val="FootnoteReference"/>
        </w:rPr>
        <w:footnoteRef/>
      </w:r>
      <w:r>
        <w:t xml:space="preserve"> </w:t>
      </w:r>
      <w:r>
        <w:fldChar w:fldCharType="begin"/>
      </w:r>
      <w:r>
        <w:instrText xml:space="preserve"> REF _Ref347421511 \h </w:instrText>
      </w:r>
      <w:r>
        <w:fldChar w:fldCharType="separate"/>
      </w:r>
      <w:r w:rsidRPr="00AD151D">
        <w:rPr>
          <w:sz w:val="22"/>
        </w:rPr>
        <w:t xml:space="preserve">Table </w:t>
      </w:r>
      <w:r>
        <w:rPr>
          <w:noProof/>
          <w:sz w:val="22"/>
        </w:rPr>
        <w:t>4</w:t>
      </w:r>
      <w:r w:rsidRPr="00AD151D">
        <w:rPr>
          <w:sz w:val="22"/>
        </w:rPr>
        <w:t>. 2011 RA Filing Summary - CPUC Jurisdictional Entities (MWs)</w:t>
      </w:r>
      <w:r>
        <w:fldChar w:fldCharType="end"/>
      </w:r>
      <w:r>
        <w:t xml:space="preserve"> pg. 11</w:t>
      </w:r>
    </w:p>
    <w:p w:rsidR="00C2504B" w:rsidRDefault="00C2504B">
      <w:pPr>
        <w:pStyle w:val="FootnoteText"/>
      </w:pPr>
    </w:p>
  </w:footnote>
  <w:footnote w:id="7">
    <w:p w:rsidR="00C2504B" w:rsidRDefault="00C2504B">
      <w:pPr>
        <w:pStyle w:val="FootnoteText"/>
      </w:pPr>
      <w:r>
        <w:rPr>
          <w:rStyle w:val="FootnoteReference"/>
        </w:rPr>
        <w:footnoteRef/>
      </w:r>
      <w:r>
        <w:t xml:space="preserve"> Ibid.</w:t>
      </w:r>
    </w:p>
  </w:footnote>
  <w:footnote w:id="8">
    <w:p w:rsidR="00C2504B" w:rsidRDefault="00C2504B" w:rsidP="00EE6A9F">
      <w:pPr>
        <w:pStyle w:val="FootnoteText"/>
      </w:pPr>
      <w:r>
        <w:rPr>
          <w:rStyle w:val="FootnoteReference"/>
        </w:rPr>
        <w:footnoteRef/>
      </w:r>
      <w:r>
        <w:t xml:space="preserve"> 2011 Annual Local CPUC Filings </w:t>
      </w:r>
    </w:p>
  </w:footnote>
  <w:footnote w:id="9">
    <w:p w:rsidR="00C2504B" w:rsidRPr="003A49CB" w:rsidRDefault="00C2504B">
      <w:pPr>
        <w:pStyle w:val="FootnoteText"/>
      </w:pPr>
      <w:r w:rsidRPr="003A49CB">
        <w:rPr>
          <w:rStyle w:val="FootnoteReference"/>
        </w:rPr>
        <w:footnoteRef/>
      </w:r>
      <w:r w:rsidRPr="003A49CB">
        <w:t xml:space="preserve"> The Local RA shown does not include DR, RMR, and CAM resources as these resources are used to reduce an LSE’s Local RA obligation.  See Table 5</w:t>
      </w:r>
    </w:p>
  </w:footnote>
  <w:footnote w:id="10">
    <w:p w:rsidR="00C2504B" w:rsidRPr="003A49CB" w:rsidRDefault="00C2504B" w:rsidP="00A60437">
      <w:pPr>
        <w:pStyle w:val="FootnoteText"/>
      </w:pPr>
      <w:r w:rsidRPr="003A49CB">
        <w:rPr>
          <w:rStyle w:val="FootnoteReference"/>
        </w:rPr>
        <w:footnoteRef/>
      </w:r>
      <w:r w:rsidRPr="003A49CB">
        <w:t xml:space="preserve"> To correct LSE estimations of customer retention, the CEC prepares a plausibility adjustment that properly estimates customer retention by certain LSEs.</w:t>
      </w:r>
    </w:p>
  </w:footnote>
  <w:footnote w:id="11">
    <w:p w:rsidR="00C2504B" w:rsidRPr="003A49CB" w:rsidRDefault="00C2504B">
      <w:pPr>
        <w:pStyle w:val="FootnoteText"/>
      </w:pPr>
      <w:r w:rsidRPr="003A49CB">
        <w:rPr>
          <w:rStyle w:val="FootnoteReference"/>
        </w:rPr>
        <w:footnoteRef/>
      </w:r>
      <w:r w:rsidRPr="003A49CB">
        <w:rPr>
          <w:bCs/>
          <w:color w:val="000000"/>
        </w:rPr>
        <w:fldChar w:fldCharType="begin"/>
      </w:r>
      <w:r w:rsidRPr="003A49CB">
        <w:rPr>
          <w:bCs/>
          <w:color w:val="000000"/>
        </w:rPr>
        <w:instrText xml:space="preserve"> REF _Ref347420884 \h </w:instrText>
      </w:r>
      <w:r>
        <w:rPr>
          <w:bCs/>
          <w:color w:val="000000"/>
        </w:rPr>
        <w:instrText xml:space="preserve"> \* MERGEFORMAT </w:instrText>
      </w:r>
      <w:r w:rsidRPr="003A49CB">
        <w:rPr>
          <w:bCs/>
          <w:color w:val="000000"/>
        </w:rPr>
      </w:r>
      <w:r w:rsidRPr="003A49CB">
        <w:rPr>
          <w:bCs/>
          <w:color w:val="000000"/>
        </w:rPr>
        <w:fldChar w:fldCharType="separate"/>
      </w:r>
      <w:r w:rsidRPr="00277DC8">
        <w:t xml:space="preserve">Table </w:t>
      </w:r>
      <w:r w:rsidRPr="00277DC8">
        <w:rPr>
          <w:noProof/>
        </w:rPr>
        <w:t>6</w:t>
      </w:r>
      <w:r w:rsidRPr="00277DC8">
        <w:t xml:space="preserve"> </w:t>
      </w:r>
      <w:r w:rsidRPr="00277DC8">
        <w:rPr>
          <w:color w:val="000000"/>
        </w:rPr>
        <w:t>New Resources that came online in 2011 since the 2011 NQC list</w:t>
      </w:r>
      <w:r w:rsidRPr="003A49CB">
        <w:rPr>
          <w:bCs/>
          <w:color w:val="000000"/>
        </w:rPr>
        <w:fldChar w:fldCharType="end"/>
      </w:r>
      <w:r w:rsidRPr="003A49CB">
        <w:rPr>
          <w:bCs/>
          <w:color w:val="000000"/>
        </w:rPr>
        <w:t>. Pg. 13</w:t>
      </w:r>
    </w:p>
  </w:footnote>
  <w:footnote w:id="12">
    <w:p w:rsidR="00C2504B" w:rsidRPr="003A49CB" w:rsidRDefault="00C2504B">
      <w:pPr>
        <w:pStyle w:val="FootnoteText"/>
      </w:pPr>
      <w:r w:rsidRPr="003A49CB">
        <w:rPr>
          <w:rStyle w:val="FootnoteReference"/>
        </w:rPr>
        <w:footnoteRef/>
      </w:r>
      <w:r w:rsidRPr="003A49CB">
        <w:t xml:space="preserve"> Ibid.</w:t>
      </w:r>
    </w:p>
  </w:footnote>
  <w:footnote w:id="13">
    <w:p w:rsidR="00C2504B" w:rsidRDefault="00C2504B" w:rsidP="008E75C4">
      <w:pPr>
        <w:pStyle w:val="FootnoteText"/>
      </w:pPr>
      <w:r w:rsidRPr="003A49CB">
        <w:rPr>
          <w:rStyle w:val="FootnoteReference"/>
        </w:rPr>
        <w:footnoteRef/>
      </w:r>
      <w:r w:rsidRPr="003A49CB">
        <w:fldChar w:fldCharType="begin"/>
      </w:r>
      <w:r w:rsidRPr="003A49CB">
        <w:instrText xml:space="preserve"> REF _Ref347420883 \h </w:instrText>
      </w:r>
      <w:r>
        <w:instrText xml:space="preserve"> \* MERGEFORMAT </w:instrText>
      </w:r>
      <w:r w:rsidRPr="003A49CB">
        <w:fldChar w:fldCharType="separate"/>
      </w:r>
      <w:r w:rsidRPr="00277DC8">
        <w:t xml:space="preserve">Table </w:t>
      </w:r>
      <w:r w:rsidRPr="00277DC8">
        <w:rPr>
          <w:noProof/>
        </w:rPr>
        <w:t>7</w:t>
      </w:r>
      <w:r w:rsidRPr="00277DC8">
        <w:rPr>
          <w:color w:val="000000"/>
        </w:rPr>
        <w:t xml:space="preserve"> Resources that retired in 2011</w:t>
      </w:r>
      <w:r w:rsidRPr="003A49CB">
        <w:fldChar w:fldCharType="end"/>
      </w:r>
      <w:r w:rsidRPr="003A49CB">
        <w:t>. Pg. 14</w:t>
      </w:r>
    </w:p>
  </w:footnote>
  <w:footnote w:id="14">
    <w:p w:rsidR="00C2504B" w:rsidRDefault="00C2504B">
      <w:pPr>
        <w:pStyle w:val="FootnoteText"/>
      </w:pPr>
      <w:r>
        <w:rPr>
          <w:rStyle w:val="FootnoteReference"/>
        </w:rPr>
        <w:footnoteRef/>
      </w:r>
      <w:r>
        <w:t xml:space="preserve"> Ibid.</w:t>
      </w:r>
    </w:p>
  </w:footnote>
  <w:footnote w:id="15">
    <w:p w:rsidR="00C2504B" w:rsidRDefault="00C2504B">
      <w:pPr>
        <w:pStyle w:val="FootnoteText"/>
      </w:pPr>
      <w:r>
        <w:rPr>
          <w:rStyle w:val="FootnoteReference"/>
        </w:rPr>
        <w:footnoteRef/>
      </w:r>
      <w:r>
        <w:t xml:space="preserve"> Due to </w:t>
      </w:r>
      <w:r w:rsidRPr="00AD151D">
        <w:t xml:space="preserve">either a procurement deficiency (i.e., it did not meet its RA obligations) or </w:t>
      </w:r>
      <w:r>
        <w:t xml:space="preserve">filing violations with compliance rules (i.e., </w:t>
      </w:r>
      <w:r w:rsidRPr="00AD151D">
        <w:t xml:space="preserve">files late,  or not </w:t>
      </w:r>
      <w:r>
        <w:t xml:space="preserve"> </w:t>
      </w:r>
      <w:r w:rsidRPr="00AD151D">
        <w:t>at all</w:t>
      </w:r>
      <w:r>
        <w:t>)</w:t>
      </w:r>
    </w:p>
  </w:footnote>
  <w:footnote w:id="16">
    <w:p w:rsidR="00C2504B" w:rsidRDefault="00C2504B">
      <w:pPr>
        <w:pStyle w:val="FootnoteText"/>
      </w:pPr>
      <w:r>
        <w:rPr>
          <w:rStyle w:val="FootnoteReference"/>
        </w:rPr>
        <w:footnoteRef/>
      </w:r>
      <w:r>
        <w:t xml:space="preserve"> CAM resources are those built for system needs, not just IOU specific needs; allocations of capacity credit for CAM resources are performed according to the mechanism adopted in D.07-09-044</w:t>
      </w:r>
    </w:p>
  </w:footnote>
  <w:footnote w:id="17">
    <w:p w:rsidR="00C2504B" w:rsidRDefault="00C2504B" w:rsidP="005243B3">
      <w:pPr>
        <w:pStyle w:val="FootnoteText"/>
      </w:pPr>
      <w:r>
        <w:rPr>
          <w:rStyle w:val="FootnoteReference"/>
        </w:rPr>
        <w:footnoteRef/>
      </w:r>
      <w:r>
        <w:t xml:space="preserve"> Final CPUC decisions may be found at http://docs.cpuc.ca.gov/cyberdocs/Libraries/WEBPUB/Common/decSearchDsp.asp</w:t>
      </w:r>
    </w:p>
  </w:footnote>
  <w:footnote w:id="18">
    <w:p w:rsidR="00C2504B" w:rsidRDefault="00C2504B" w:rsidP="00AF07E7">
      <w:pPr>
        <w:pStyle w:val="FootnoteText"/>
      </w:pPr>
      <w:r>
        <w:rPr>
          <w:rStyle w:val="FootnoteReference"/>
        </w:rPr>
        <w:footnoteRef/>
      </w:r>
      <w:r>
        <w:t xml:space="preserve"> Annual RA Filing Guides are available on the CPUC website:  http://www.cpuc.ca.gov/PUC/energy/Procurement/RA/ra_compliance_materials.htm</w:t>
      </w:r>
    </w:p>
  </w:footnote>
  <w:footnote w:id="19">
    <w:p w:rsidR="00C2504B" w:rsidRDefault="00C2504B">
      <w:pPr>
        <w:pStyle w:val="FootnoteText"/>
      </w:pPr>
      <w:r>
        <w:rPr>
          <w:rStyle w:val="FootnoteReference"/>
        </w:rPr>
        <w:footnoteRef/>
      </w:r>
      <w:r>
        <w:t xml:space="preserve"> 2010 RA report is linked to the CPUC website here: http://www.cpuc.ca.gov/PUC/energy/Procurement/RA/index.htm#Final%20Reports</w:t>
      </w:r>
    </w:p>
  </w:footnote>
  <w:footnote w:id="20">
    <w:p w:rsidR="00C2504B" w:rsidRPr="00C83B76" w:rsidRDefault="00C2504B">
      <w:pPr>
        <w:pStyle w:val="FootnoteText"/>
      </w:pPr>
      <w:r>
        <w:rPr>
          <w:rStyle w:val="FootnoteReference"/>
        </w:rPr>
        <w:footnoteRef/>
      </w:r>
      <w:r>
        <w:t xml:space="preserve"> The Monthly CEC Load Forecast is the same forecast as applicable to the Monthly Filings, from Line 3 </w:t>
      </w:r>
      <w:r w:rsidRPr="00C83B76">
        <w:t>in Table 3</w:t>
      </w:r>
    </w:p>
  </w:footnote>
  <w:footnote w:id="21">
    <w:p w:rsidR="00C2504B" w:rsidRPr="00C83B76" w:rsidRDefault="00C2504B">
      <w:pPr>
        <w:pStyle w:val="FootnoteText"/>
      </w:pPr>
      <w:r w:rsidRPr="00C83B76">
        <w:rPr>
          <w:rStyle w:val="FootnoteReference"/>
        </w:rPr>
        <w:footnoteRef/>
      </w:r>
      <w:r w:rsidRPr="00C83B76">
        <w:t xml:space="preserve"> More detail regarding the overall Local RA program can be found in Section 3.3 of the 2007 Resource Adequacy Report</w:t>
      </w:r>
    </w:p>
  </w:footnote>
  <w:footnote w:id="22">
    <w:p w:rsidR="00C2504B" w:rsidRDefault="00C2504B">
      <w:pPr>
        <w:pStyle w:val="FootnoteText"/>
      </w:pPr>
      <w:r w:rsidRPr="00C83B76">
        <w:rPr>
          <w:rStyle w:val="FootnoteReference"/>
        </w:rPr>
        <w:footnoteRef/>
      </w:r>
      <w:r w:rsidRPr="00C83B76">
        <w:t xml:space="preserve"> LCR studies and materials for 2011 and previous years are posted at the following link: </w:t>
      </w:r>
      <w:r w:rsidRPr="00626007">
        <w:t>htt</w:t>
      </w:r>
      <w:r w:rsidRPr="000D7850">
        <w:t>p://www.caiso.com/planning</w:t>
      </w:r>
      <w:r w:rsidRPr="007C2409">
        <w:t>/Pages/ReliabilityRequirements/LocalCapacityRequirements.aspx</w:t>
      </w:r>
    </w:p>
  </w:footnote>
  <w:footnote w:id="23">
    <w:p w:rsidR="00C2504B" w:rsidRDefault="00C2504B">
      <w:pPr>
        <w:pStyle w:val="FootnoteText"/>
      </w:pPr>
      <w:r>
        <w:rPr>
          <w:rStyle w:val="FootnoteReference"/>
        </w:rPr>
        <w:footnoteRef/>
      </w:r>
      <w:r>
        <w:t xml:space="preserve"> http://docs.cpuc.ca.gov/PUBLISHED/FINAL_DECISION/119856.htm (QC manual adopted as Appendix B).</w:t>
      </w:r>
    </w:p>
  </w:footnote>
  <w:footnote w:id="24">
    <w:p w:rsidR="00C2504B" w:rsidRDefault="00C2504B" w:rsidP="00C51DD8">
      <w:pPr>
        <w:pStyle w:val="FootnoteText"/>
      </w:pPr>
      <w:r>
        <w:rPr>
          <w:rStyle w:val="FootnoteReference"/>
        </w:rPr>
        <w:footnoteRef/>
      </w:r>
      <w:r>
        <w:t xml:space="preserve"> The 2011 compliance year NQC list is posted to the CPUC website:  http://www.caiso.com/1796/179688b22c970.html</w:t>
      </w:r>
    </w:p>
  </w:footnote>
  <w:footnote w:id="25">
    <w:p w:rsidR="00C2504B" w:rsidRDefault="00C2504B">
      <w:pPr>
        <w:pStyle w:val="FootnoteText"/>
      </w:pPr>
      <w:r>
        <w:rPr>
          <w:rStyle w:val="FootnoteReference"/>
        </w:rPr>
        <w:footnoteRef/>
      </w:r>
      <w:r>
        <w:t xml:space="preserve"> http://www.energy.ca.gov/sitingcases/all_projects.html</w:t>
      </w:r>
    </w:p>
  </w:footnote>
  <w:footnote w:id="26">
    <w:p w:rsidR="00C2504B" w:rsidRDefault="00C2504B">
      <w:pPr>
        <w:pStyle w:val="FootnoteText"/>
      </w:pPr>
      <w:r>
        <w:rPr>
          <w:rStyle w:val="FootnoteReference"/>
        </w:rPr>
        <w:footnoteRef/>
      </w:r>
      <w:r>
        <w:t xml:space="preserve"> </w:t>
      </w:r>
      <w:hyperlink r:id="rId1" w:history="1">
        <w:r>
          <w:rPr>
            <w:rStyle w:val="Hyperlink"/>
          </w:rPr>
          <w:t>http://www.cpuc.ca.gov/PUC/energy/Procurement/RA/ra_compliance_materials.htm</w:t>
        </w:r>
      </w:hyperlink>
      <w:r>
        <w:t xml:space="preserve"> </w:t>
      </w:r>
    </w:p>
  </w:footnote>
  <w:footnote w:id="27">
    <w:p w:rsidR="00C2504B" w:rsidRDefault="00C2504B">
      <w:pPr>
        <w:pStyle w:val="FootnoteText"/>
      </w:pPr>
      <w:r>
        <w:rPr>
          <w:rStyle w:val="FootnoteReference"/>
        </w:rPr>
        <w:footnoteRef/>
      </w:r>
      <w:r>
        <w:t xml:space="preserve"> Ibid.</w:t>
      </w:r>
    </w:p>
  </w:footnote>
  <w:footnote w:id="28">
    <w:p w:rsidR="00C2504B" w:rsidRDefault="00C2504B">
      <w:pPr>
        <w:pStyle w:val="FootnoteText"/>
      </w:pPr>
      <w:r>
        <w:rPr>
          <w:rStyle w:val="FootnoteReference"/>
        </w:rPr>
        <w:footnoteRef/>
      </w:r>
      <w:r>
        <w:t>CAISO tariff section 40.5.2.2</w:t>
      </w:r>
    </w:p>
  </w:footnote>
  <w:footnote w:id="29">
    <w:p w:rsidR="00C2504B" w:rsidRDefault="00C2504B">
      <w:pPr>
        <w:pStyle w:val="FootnoteText"/>
      </w:pPr>
      <w:r>
        <w:rPr>
          <w:rStyle w:val="FootnoteReference"/>
        </w:rPr>
        <w:footnoteRef/>
      </w:r>
      <w:r>
        <w:t xml:space="preserve"> Market Reports are linked to the CAISO website here: </w:t>
      </w:r>
      <w:hyperlink r:id="rId2" w:history="1">
        <w:r w:rsidRPr="00030BBC">
          <w:rPr>
            <w:rStyle w:val="Hyperlink"/>
          </w:rPr>
          <w:t>http://www.caiso.com/market/Pages/ReportsBulletins/Default.aspx</w:t>
        </w:r>
      </w:hyperlink>
      <w:r>
        <w:t xml:space="preserve"> </w:t>
      </w:r>
    </w:p>
  </w:footnote>
  <w:footnote w:id="30">
    <w:p w:rsidR="00C2504B" w:rsidRDefault="00C2504B">
      <w:pPr>
        <w:pStyle w:val="FootnoteText"/>
      </w:pPr>
      <w:r>
        <w:rPr>
          <w:rStyle w:val="FootnoteReference"/>
        </w:rPr>
        <w:footnoteRef/>
      </w:r>
      <w:r>
        <w:t xml:space="preserve"> Monthly ExD reports are posted on the CAISO website here:</w:t>
      </w:r>
      <w:r w:rsidRPr="0030217F">
        <w:t xml:space="preserve"> http://www.caiso.com/241d/241dca223c760.html</w:t>
      </w:r>
    </w:p>
  </w:footnote>
  <w:footnote w:id="31">
    <w:p w:rsidR="00C2504B" w:rsidRDefault="00C2504B">
      <w:pPr>
        <w:pStyle w:val="FootnoteText"/>
      </w:pPr>
      <w:r>
        <w:rPr>
          <w:rStyle w:val="FootnoteReference"/>
        </w:rPr>
        <w:footnoteRef/>
      </w:r>
      <w:r>
        <w:t xml:space="preserve"> </w:t>
      </w:r>
      <w:r>
        <w:rPr>
          <w:sz w:val="18"/>
          <w:szCs w:val="18"/>
        </w:rPr>
        <w:t>California Public Utilities Commission D.06-06-064, Section 3.3.7.1.</w:t>
      </w:r>
    </w:p>
  </w:footnote>
  <w:footnote w:id="32">
    <w:p w:rsidR="00C2504B" w:rsidRDefault="00C2504B">
      <w:pPr>
        <w:pStyle w:val="FootnoteText"/>
      </w:pPr>
      <w:r>
        <w:rPr>
          <w:rStyle w:val="FootnoteReference"/>
        </w:rPr>
        <w:footnoteRef/>
      </w:r>
      <w:r>
        <w:t xml:space="preserve"> Posted to the CPUC website here: http://docs.cpuc.ca.gov/PUBLISHED/FINAL_RESOLUTION/93662.htm</w:t>
      </w:r>
    </w:p>
  </w:footnote>
  <w:footnote w:id="33">
    <w:p w:rsidR="00C2504B" w:rsidRDefault="00C2504B">
      <w:pPr>
        <w:pStyle w:val="FootnoteText"/>
      </w:pPr>
      <w:r>
        <w:rPr>
          <w:rStyle w:val="FootnoteReference"/>
        </w:rPr>
        <w:footnoteRef/>
      </w:r>
      <w:r>
        <w:t xml:space="preserve"> http://docs.cpuc.ca.gov/PUBLISHED/FINAL_RESOLUTION/73108.htm</w:t>
      </w:r>
    </w:p>
  </w:footnote>
  <w:footnote w:id="34">
    <w:p w:rsidR="00C2504B" w:rsidRDefault="00C2504B">
      <w:pPr>
        <w:pStyle w:val="FootnoteText"/>
      </w:pPr>
      <w:r>
        <w:rPr>
          <w:rStyle w:val="FootnoteReference"/>
        </w:rPr>
        <w:footnoteRef/>
      </w:r>
      <w:r>
        <w:t xml:space="preserve"> The docket card for this proceeding can be accessed here: http://docs.cpuc.ca.gov/published/proceedings/I0901017.htm</w:t>
      </w:r>
    </w:p>
  </w:footnote>
  <w:footnote w:id="35">
    <w:p w:rsidR="00C2504B" w:rsidRDefault="00C2504B">
      <w:pPr>
        <w:pStyle w:val="FootnoteText"/>
      </w:pPr>
      <w:r>
        <w:rPr>
          <w:rStyle w:val="FootnoteReference"/>
        </w:rPr>
        <w:footnoteRef/>
      </w:r>
      <w:r>
        <w:t xml:space="preserve"> Documents for this proceeding are posted here: http://docs.cpuc.ca.gov/published/proceedings/I1004010.htm</w:t>
      </w:r>
    </w:p>
  </w:footnote>
  <w:footnote w:id="36">
    <w:p w:rsidR="00C2504B" w:rsidRDefault="00C2504B">
      <w:pPr>
        <w:pStyle w:val="FootnoteText"/>
      </w:pPr>
      <w:r>
        <w:rPr>
          <w:rStyle w:val="FootnoteReference"/>
        </w:rPr>
        <w:footnoteRef/>
      </w:r>
      <w:r>
        <w:t xml:space="preserve"> SCP tariff and implementation information posted to the CAISO website here: http://www.caiso.com/1796/179688b22c970.html#2406b60b7570</w:t>
      </w:r>
    </w:p>
  </w:footnote>
  <w:footnote w:id="37">
    <w:p w:rsidR="00C2504B" w:rsidRDefault="00C2504B" w:rsidP="007C7820">
      <w:pPr>
        <w:pStyle w:val="FootnoteText"/>
      </w:pPr>
      <w:r>
        <w:rPr>
          <w:rStyle w:val="FootnoteReference"/>
        </w:rPr>
        <w:footnoteRef/>
      </w:r>
      <w:r>
        <w:t xml:space="preserve"> CAISO posts SCP information to the CAISO website here: </w:t>
      </w:r>
      <w:r w:rsidRPr="00A66C5B">
        <w:t>http://www.caiso.com/Documents/2011MonthlyResourceAdequacyAvailabilityStandards.pdf</w:t>
      </w:r>
      <w:r w:rsidRPr="00A66C5B" w:rsidDel="00A66C5B">
        <w:t xml:space="preserve"> </w:t>
      </w:r>
    </w:p>
  </w:footnote>
  <w:footnote w:id="38">
    <w:p w:rsidR="00C2504B" w:rsidRDefault="00C2504B" w:rsidP="007C7820">
      <w:pPr>
        <w:pStyle w:val="FootnoteText"/>
      </w:pPr>
      <w:r>
        <w:rPr>
          <w:rStyle w:val="FootnoteReference"/>
        </w:rPr>
        <w:footnoteRef/>
      </w:r>
      <w:r>
        <w:t xml:space="preserve">  Data </w:t>
      </w:r>
      <w:r w:rsidRPr="009C3C19">
        <w:t xml:space="preserve">in </w:t>
      </w:r>
      <w:r w:rsidRPr="009C3C19">
        <w:fldChar w:fldCharType="begin"/>
      </w:r>
      <w:r w:rsidRPr="009C3C19">
        <w:instrText xml:space="preserve"> REF _Ref287344325 \h </w:instrText>
      </w:r>
      <w:r>
        <w:instrText xml:space="preserve"> \* MERGEFORMAT </w:instrText>
      </w:r>
      <w:r w:rsidRPr="009C3C19">
        <w:fldChar w:fldCharType="separate"/>
      </w:r>
      <w:r w:rsidRPr="009C3C19">
        <w:t xml:space="preserve">Table </w:t>
      </w:r>
      <w:r w:rsidRPr="009C3C19">
        <w:rPr>
          <w:noProof/>
        </w:rPr>
        <w:t>17</w:t>
      </w:r>
      <w:r w:rsidRPr="009C3C19">
        <w:fldChar w:fldCharType="end"/>
      </w:r>
      <w:r>
        <w:t xml:space="preserve"> </w:t>
      </w:r>
      <w:r w:rsidRPr="009C3C19">
        <w:t>does not reflect</w:t>
      </w:r>
      <w:r>
        <w:t xml:space="preserve"> adjustments made after publication on the ISO website.</w:t>
      </w:r>
    </w:p>
  </w:footnote>
  <w:footnote w:id="39">
    <w:p w:rsidR="00C2504B" w:rsidRDefault="00C2504B" w:rsidP="002A3FD6">
      <w:pPr>
        <w:pStyle w:val="FootnoteText"/>
      </w:pPr>
      <w:r>
        <w:rPr>
          <w:rStyle w:val="FootnoteReference"/>
        </w:rPr>
        <w:footnoteRef/>
      </w:r>
      <w:r>
        <w:t xml:space="preserve">  This does not include RA capacity that is grandfathered from SCP availability standards.  </w:t>
      </w:r>
    </w:p>
  </w:footnote>
  <w:footnote w:id="40">
    <w:p w:rsidR="00C2504B" w:rsidRDefault="00C2504B" w:rsidP="002A3FD6">
      <w:pPr>
        <w:pStyle w:val="FootnoteText"/>
      </w:pPr>
      <w:r>
        <w:rPr>
          <w:rStyle w:val="FootnoteReference"/>
        </w:rPr>
        <w:footnoteRef/>
      </w:r>
      <w:r>
        <w:t xml:space="preserve">  </w:t>
      </w:r>
      <w:r>
        <w:rPr>
          <w:i/>
        </w:rPr>
        <w:t>Ibid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04B" w:rsidRDefault="00C2504B">
    <w:pPr>
      <w:pStyle w:val="Header"/>
    </w:pPr>
    <w:r>
      <w:ptab w:relativeTo="margin" w:alignment="center" w:leader="none"/>
    </w:r>
    <w:r>
      <w:rPr>
        <w:b/>
        <w:sz w:val="36"/>
        <w:szCs w:val="36"/>
      </w:rPr>
      <w:t>2011 Resource Adequacy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BBC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C1667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860DE0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F8E4FE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0AA75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3658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1656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E4DB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345E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A24F2C"/>
    <w:lvl w:ilvl="0">
      <w:start w:val="1"/>
      <w:numFmt w:val="bullet"/>
      <w:lvlText w:val=""/>
      <w:lvlJc w:val="left"/>
      <w:pPr>
        <w:tabs>
          <w:tab w:val="num" w:pos="360"/>
        </w:tabs>
        <w:ind w:left="360" w:hanging="360"/>
      </w:pPr>
      <w:rPr>
        <w:rFonts w:ascii="Symbol" w:hAnsi="Symbol" w:hint="default"/>
      </w:rPr>
    </w:lvl>
  </w:abstractNum>
  <w:abstractNum w:abstractNumId="10">
    <w:nsid w:val="01B820E7"/>
    <w:multiLevelType w:val="hybridMultilevel"/>
    <w:tmpl w:val="D73CB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480A57"/>
    <w:multiLevelType w:val="multilevel"/>
    <w:tmpl w:val="8DE04AA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0E033F3B"/>
    <w:multiLevelType w:val="multilevel"/>
    <w:tmpl w:val="92265226"/>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0F6259A3"/>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48B41DE"/>
    <w:multiLevelType w:val="hybridMultilevel"/>
    <w:tmpl w:val="3B1894F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156B6CE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15EC3A24"/>
    <w:multiLevelType w:val="hybridMultilevel"/>
    <w:tmpl w:val="D4C2D0DC"/>
    <w:lvl w:ilvl="0" w:tplc="10143C7C">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E2774B4"/>
    <w:multiLevelType w:val="hybridMultilevel"/>
    <w:tmpl w:val="B3AC4C90"/>
    <w:lvl w:ilvl="0" w:tplc="10143C7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A35701"/>
    <w:multiLevelType w:val="multilevel"/>
    <w:tmpl w:val="0409001D"/>
    <w:lvl w:ilvl="0">
      <w:start w:val="1"/>
      <w:numFmt w:val="decimal"/>
      <w:pStyle w:val="Heading1"/>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pStyle w:val="Heading3"/>
      <w:lvlText w:val="%3)"/>
      <w:lvlJc w:val="left"/>
      <w:pPr>
        <w:tabs>
          <w:tab w:val="num" w:pos="1080"/>
        </w:tabs>
        <w:ind w:left="1080" w:hanging="360"/>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240"/>
        </w:tabs>
        <w:ind w:left="3240" w:hanging="360"/>
      </w:pPr>
      <w:rPr>
        <w:rFonts w:cs="Times New Roman"/>
      </w:rPr>
    </w:lvl>
  </w:abstractNum>
  <w:abstractNum w:abstractNumId="19">
    <w:nsid w:val="2F1D18F7"/>
    <w:multiLevelType w:val="hybridMultilevel"/>
    <w:tmpl w:val="056ECC30"/>
    <w:lvl w:ilvl="0" w:tplc="10143C7C">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3911A4"/>
    <w:multiLevelType w:val="hybridMultilevel"/>
    <w:tmpl w:val="D5B87BE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9412DF3"/>
    <w:multiLevelType w:val="hybridMultilevel"/>
    <w:tmpl w:val="1EAE510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3D47106D"/>
    <w:multiLevelType w:val="hybridMultilevel"/>
    <w:tmpl w:val="B344EA56"/>
    <w:lvl w:ilvl="0" w:tplc="10143C7C">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5731ACE"/>
    <w:multiLevelType w:val="hybridMultilevel"/>
    <w:tmpl w:val="F91E76A0"/>
    <w:lvl w:ilvl="0" w:tplc="10143C7C">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5075B0"/>
    <w:multiLevelType w:val="hybridMultilevel"/>
    <w:tmpl w:val="48AE89D4"/>
    <w:lvl w:ilvl="0" w:tplc="04090003">
      <w:start w:val="1"/>
      <w:numFmt w:val="bullet"/>
      <w:lvlText w:val="o"/>
      <w:lvlJc w:val="left"/>
      <w:pPr>
        <w:tabs>
          <w:tab w:val="num" w:pos="1440"/>
        </w:tabs>
        <w:ind w:left="1440" w:hanging="360"/>
      </w:pPr>
      <w:rPr>
        <w:rFonts w:ascii="Courier New" w:hAnsi="Courier New"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nsid w:val="5AEE12F6"/>
    <w:multiLevelType w:val="hybridMultilevel"/>
    <w:tmpl w:val="DACE91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9A24A52"/>
    <w:multiLevelType w:val="hybridMultilevel"/>
    <w:tmpl w:val="C3EE2F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9A53392"/>
    <w:multiLevelType w:val="hybridMultilevel"/>
    <w:tmpl w:val="50FE7D6A"/>
    <w:lvl w:ilvl="0" w:tplc="10143C7C">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9E0101D"/>
    <w:multiLevelType w:val="hybridMultilevel"/>
    <w:tmpl w:val="D444B60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nsid w:val="730E3B43"/>
    <w:multiLevelType w:val="hybridMultilevel"/>
    <w:tmpl w:val="41BC49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9"/>
  </w:num>
  <w:num w:numId="3">
    <w:abstractNumId w:val="26"/>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1"/>
  </w:num>
  <w:num w:numId="19">
    <w:abstractNumId w:val="20"/>
  </w:num>
  <w:num w:numId="20">
    <w:abstractNumId w:val="21"/>
  </w:num>
  <w:num w:numId="21">
    <w:abstractNumId w:val="16"/>
  </w:num>
  <w:num w:numId="22">
    <w:abstractNumId w:val="2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11"/>
  </w:num>
  <w:num w:numId="27">
    <w:abstractNumId w:val="11"/>
  </w:num>
  <w:num w:numId="28">
    <w:abstractNumId w:val="19"/>
  </w:num>
  <w:num w:numId="29">
    <w:abstractNumId w:val="27"/>
  </w:num>
  <w:num w:numId="30">
    <w:abstractNumId w:val="11"/>
  </w:num>
  <w:num w:numId="31">
    <w:abstractNumId w:val="28"/>
  </w:num>
  <w:num w:numId="32">
    <w:abstractNumId w:val="14"/>
  </w:num>
  <w:num w:numId="33">
    <w:abstractNumId w:val="24"/>
  </w:num>
  <w:num w:numId="34">
    <w:abstractNumId w:val="23"/>
  </w:num>
  <w:num w:numId="35">
    <w:abstractNumId w:val="17"/>
  </w:num>
  <w:num w:numId="36">
    <w:abstractNumId w:val="2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7B"/>
    <w:rsid w:val="000063EF"/>
    <w:rsid w:val="00010A92"/>
    <w:rsid w:val="00021382"/>
    <w:rsid w:val="00030BBC"/>
    <w:rsid w:val="00041870"/>
    <w:rsid w:val="00042DAA"/>
    <w:rsid w:val="00044E7C"/>
    <w:rsid w:val="00056F2E"/>
    <w:rsid w:val="00061F62"/>
    <w:rsid w:val="00065C14"/>
    <w:rsid w:val="00075EA6"/>
    <w:rsid w:val="00095495"/>
    <w:rsid w:val="000A0C48"/>
    <w:rsid w:val="000B3320"/>
    <w:rsid w:val="000B5D8B"/>
    <w:rsid w:val="000D7850"/>
    <w:rsid w:val="000E1A1E"/>
    <w:rsid w:val="000E41DF"/>
    <w:rsid w:val="000E4269"/>
    <w:rsid w:val="00111359"/>
    <w:rsid w:val="00177309"/>
    <w:rsid w:val="00180C07"/>
    <w:rsid w:val="001834A6"/>
    <w:rsid w:val="001836CC"/>
    <w:rsid w:val="00186273"/>
    <w:rsid w:val="001A2D84"/>
    <w:rsid w:val="001B7740"/>
    <w:rsid w:val="001C5402"/>
    <w:rsid w:val="001D266C"/>
    <w:rsid w:val="001E0315"/>
    <w:rsid w:val="001F42D5"/>
    <w:rsid w:val="001F7D86"/>
    <w:rsid w:val="002010E3"/>
    <w:rsid w:val="0022660E"/>
    <w:rsid w:val="002412B6"/>
    <w:rsid w:val="00275ACB"/>
    <w:rsid w:val="00277DC8"/>
    <w:rsid w:val="0028403D"/>
    <w:rsid w:val="002A3FD6"/>
    <w:rsid w:val="002C2708"/>
    <w:rsid w:val="002E4689"/>
    <w:rsid w:val="002F0577"/>
    <w:rsid w:val="002F5203"/>
    <w:rsid w:val="0030217F"/>
    <w:rsid w:val="00324AC2"/>
    <w:rsid w:val="003303D3"/>
    <w:rsid w:val="0033102F"/>
    <w:rsid w:val="00331CC9"/>
    <w:rsid w:val="00347D81"/>
    <w:rsid w:val="00350B99"/>
    <w:rsid w:val="003546BE"/>
    <w:rsid w:val="00363332"/>
    <w:rsid w:val="00363EA5"/>
    <w:rsid w:val="00363EB8"/>
    <w:rsid w:val="00372CE3"/>
    <w:rsid w:val="003878E0"/>
    <w:rsid w:val="003A04F3"/>
    <w:rsid w:val="003A0DD6"/>
    <w:rsid w:val="003A2EEB"/>
    <w:rsid w:val="003A4695"/>
    <w:rsid w:val="003A49CB"/>
    <w:rsid w:val="003B5D33"/>
    <w:rsid w:val="003D16C2"/>
    <w:rsid w:val="003E0631"/>
    <w:rsid w:val="003E1A38"/>
    <w:rsid w:val="003E1B1A"/>
    <w:rsid w:val="003E45F8"/>
    <w:rsid w:val="003F36BA"/>
    <w:rsid w:val="00411CBB"/>
    <w:rsid w:val="004138E5"/>
    <w:rsid w:val="00415330"/>
    <w:rsid w:val="0041619F"/>
    <w:rsid w:val="00416549"/>
    <w:rsid w:val="004174B6"/>
    <w:rsid w:val="00420594"/>
    <w:rsid w:val="004210AB"/>
    <w:rsid w:val="00431899"/>
    <w:rsid w:val="00444203"/>
    <w:rsid w:val="00452970"/>
    <w:rsid w:val="004537D8"/>
    <w:rsid w:val="0046439F"/>
    <w:rsid w:val="00464AEC"/>
    <w:rsid w:val="00465B9F"/>
    <w:rsid w:val="00467339"/>
    <w:rsid w:val="00486BF6"/>
    <w:rsid w:val="004874FB"/>
    <w:rsid w:val="004905E8"/>
    <w:rsid w:val="004914A5"/>
    <w:rsid w:val="00491C7D"/>
    <w:rsid w:val="00495FE9"/>
    <w:rsid w:val="004A0119"/>
    <w:rsid w:val="004A2ECB"/>
    <w:rsid w:val="004A5ACF"/>
    <w:rsid w:val="004A60B8"/>
    <w:rsid w:val="004B01E3"/>
    <w:rsid w:val="004B2D02"/>
    <w:rsid w:val="004B59F2"/>
    <w:rsid w:val="004B7805"/>
    <w:rsid w:val="004C06E5"/>
    <w:rsid w:val="004C3C54"/>
    <w:rsid w:val="004D507D"/>
    <w:rsid w:val="004D53AC"/>
    <w:rsid w:val="004F098B"/>
    <w:rsid w:val="005013EC"/>
    <w:rsid w:val="005042B9"/>
    <w:rsid w:val="00504F18"/>
    <w:rsid w:val="0051629E"/>
    <w:rsid w:val="00517D18"/>
    <w:rsid w:val="005243B3"/>
    <w:rsid w:val="00527E32"/>
    <w:rsid w:val="0054212C"/>
    <w:rsid w:val="0057084E"/>
    <w:rsid w:val="00573B09"/>
    <w:rsid w:val="00580872"/>
    <w:rsid w:val="00586B1F"/>
    <w:rsid w:val="00591A9D"/>
    <w:rsid w:val="005A5CBE"/>
    <w:rsid w:val="005C6269"/>
    <w:rsid w:val="005C7D93"/>
    <w:rsid w:val="005D1B72"/>
    <w:rsid w:val="005D38BA"/>
    <w:rsid w:val="005D47C0"/>
    <w:rsid w:val="005E5CC1"/>
    <w:rsid w:val="005F02A8"/>
    <w:rsid w:val="005F4557"/>
    <w:rsid w:val="00601290"/>
    <w:rsid w:val="00607265"/>
    <w:rsid w:val="006209A2"/>
    <w:rsid w:val="00626007"/>
    <w:rsid w:val="00627998"/>
    <w:rsid w:val="00630FCA"/>
    <w:rsid w:val="006338C1"/>
    <w:rsid w:val="00641711"/>
    <w:rsid w:val="00644C96"/>
    <w:rsid w:val="00647976"/>
    <w:rsid w:val="00650937"/>
    <w:rsid w:val="00653A14"/>
    <w:rsid w:val="00657D4C"/>
    <w:rsid w:val="006621CE"/>
    <w:rsid w:val="00663C4D"/>
    <w:rsid w:val="006645E2"/>
    <w:rsid w:val="00666644"/>
    <w:rsid w:val="006679F4"/>
    <w:rsid w:val="00672704"/>
    <w:rsid w:val="0067654B"/>
    <w:rsid w:val="00677D1C"/>
    <w:rsid w:val="006802FD"/>
    <w:rsid w:val="00687103"/>
    <w:rsid w:val="00691252"/>
    <w:rsid w:val="00692E44"/>
    <w:rsid w:val="006B7805"/>
    <w:rsid w:val="006C0354"/>
    <w:rsid w:val="006C5D7A"/>
    <w:rsid w:val="006E392C"/>
    <w:rsid w:val="006F69DE"/>
    <w:rsid w:val="006F7ADC"/>
    <w:rsid w:val="00703C2C"/>
    <w:rsid w:val="00714437"/>
    <w:rsid w:val="00730F40"/>
    <w:rsid w:val="00732319"/>
    <w:rsid w:val="00733A86"/>
    <w:rsid w:val="00737705"/>
    <w:rsid w:val="00743AB6"/>
    <w:rsid w:val="00765551"/>
    <w:rsid w:val="007805DE"/>
    <w:rsid w:val="0078429D"/>
    <w:rsid w:val="00794362"/>
    <w:rsid w:val="0079467F"/>
    <w:rsid w:val="007A14F3"/>
    <w:rsid w:val="007B209F"/>
    <w:rsid w:val="007B7AE5"/>
    <w:rsid w:val="007C14AD"/>
    <w:rsid w:val="007C2409"/>
    <w:rsid w:val="007C7732"/>
    <w:rsid w:val="007C7820"/>
    <w:rsid w:val="007D0547"/>
    <w:rsid w:val="007D7B90"/>
    <w:rsid w:val="007E3661"/>
    <w:rsid w:val="00800C8F"/>
    <w:rsid w:val="00820AE3"/>
    <w:rsid w:val="00841241"/>
    <w:rsid w:val="008471FB"/>
    <w:rsid w:val="00854291"/>
    <w:rsid w:val="00855F85"/>
    <w:rsid w:val="008566B9"/>
    <w:rsid w:val="00863E5C"/>
    <w:rsid w:val="00873366"/>
    <w:rsid w:val="008740F0"/>
    <w:rsid w:val="00882A86"/>
    <w:rsid w:val="0089481D"/>
    <w:rsid w:val="00897B07"/>
    <w:rsid w:val="008B117F"/>
    <w:rsid w:val="008B6F30"/>
    <w:rsid w:val="008D3D46"/>
    <w:rsid w:val="008D4E13"/>
    <w:rsid w:val="008E4DEA"/>
    <w:rsid w:val="008E75C4"/>
    <w:rsid w:val="008F038D"/>
    <w:rsid w:val="008F0E73"/>
    <w:rsid w:val="0090175C"/>
    <w:rsid w:val="00903E7D"/>
    <w:rsid w:val="009077CF"/>
    <w:rsid w:val="00917292"/>
    <w:rsid w:val="0092646D"/>
    <w:rsid w:val="00937B0F"/>
    <w:rsid w:val="0094467F"/>
    <w:rsid w:val="00946688"/>
    <w:rsid w:val="00957210"/>
    <w:rsid w:val="00957365"/>
    <w:rsid w:val="00960862"/>
    <w:rsid w:val="00966063"/>
    <w:rsid w:val="00970D54"/>
    <w:rsid w:val="00997EC4"/>
    <w:rsid w:val="009A4E23"/>
    <w:rsid w:val="009A52E0"/>
    <w:rsid w:val="009B0809"/>
    <w:rsid w:val="009B1A37"/>
    <w:rsid w:val="009B4E2A"/>
    <w:rsid w:val="009C05DB"/>
    <w:rsid w:val="009C0BBB"/>
    <w:rsid w:val="009C3C19"/>
    <w:rsid w:val="009E440A"/>
    <w:rsid w:val="009F38FB"/>
    <w:rsid w:val="00A01172"/>
    <w:rsid w:val="00A253C6"/>
    <w:rsid w:val="00A30C29"/>
    <w:rsid w:val="00A45B0C"/>
    <w:rsid w:val="00A4623B"/>
    <w:rsid w:val="00A54B87"/>
    <w:rsid w:val="00A60437"/>
    <w:rsid w:val="00A647C4"/>
    <w:rsid w:val="00A647D9"/>
    <w:rsid w:val="00A72384"/>
    <w:rsid w:val="00A736EA"/>
    <w:rsid w:val="00A91668"/>
    <w:rsid w:val="00A9171A"/>
    <w:rsid w:val="00A9385F"/>
    <w:rsid w:val="00AB1C92"/>
    <w:rsid w:val="00AB2D29"/>
    <w:rsid w:val="00AB7C54"/>
    <w:rsid w:val="00AC45E9"/>
    <w:rsid w:val="00AD0D06"/>
    <w:rsid w:val="00AD151D"/>
    <w:rsid w:val="00AE5805"/>
    <w:rsid w:val="00AE7D50"/>
    <w:rsid w:val="00AF07E7"/>
    <w:rsid w:val="00B07A8B"/>
    <w:rsid w:val="00B07EDA"/>
    <w:rsid w:val="00B135BB"/>
    <w:rsid w:val="00B16BF5"/>
    <w:rsid w:val="00B3535E"/>
    <w:rsid w:val="00B414BC"/>
    <w:rsid w:val="00B43AE4"/>
    <w:rsid w:val="00B46BF4"/>
    <w:rsid w:val="00B6489E"/>
    <w:rsid w:val="00B717E9"/>
    <w:rsid w:val="00B86E64"/>
    <w:rsid w:val="00B93B61"/>
    <w:rsid w:val="00B975DA"/>
    <w:rsid w:val="00BB2D00"/>
    <w:rsid w:val="00BB3463"/>
    <w:rsid w:val="00BB596F"/>
    <w:rsid w:val="00BC4EBC"/>
    <w:rsid w:val="00BD477C"/>
    <w:rsid w:val="00BD5858"/>
    <w:rsid w:val="00BD5E4A"/>
    <w:rsid w:val="00BF4431"/>
    <w:rsid w:val="00C001CC"/>
    <w:rsid w:val="00C06A81"/>
    <w:rsid w:val="00C12957"/>
    <w:rsid w:val="00C17159"/>
    <w:rsid w:val="00C2504B"/>
    <w:rsid w:val="00C4241A"/>
    <w:rsid w:val="00C44BBC"/>
    <w:rsid w:val="00C51DD8"/>
    <w:rsid w:val="00C55A10"/>
    <w:rsid w:val="00C7610B"/>
    <w:rsid w:val="00C83B76"/>
    <w:rsid w:val="00C85210"/>
    <w:rsid w:val="00C909A8"/>
    <w:rsid w:val="00C9468D"/>
    <w:rsid w:val="00C9687D"/>
    <w:rsid w:val="00CA05BD"/>
    <w:rsid w:val="00CB096A"/>
    <w:rsid w:val="00CB2B60"/>
    <w:rsid w:val="00CB31BB"/>
    <w:rsid w:val="00CB3386"/>
    <w:rsid w:val="00CC55E1"/>
    <w:rsid w:val="00CD6BB4"/>
    <w:rsid w:val="00CF56EC"/>
    <w:rsid w:val="00D00CEF"/>
    <w:rsid w:val="00D075FF"/>
    <w:rsid w:val="00D335F8"/>
    <w:rsid w:val="00D4517E"/>
    <w:rsid w:val="00D519D7"/>
    <w:rsid w:val="00D60ECD"/>
    <w:rsid w:val="00D615ED"/>
    <w:rsid w:val="00D76C00"/>
    <w:rsid w:val="00D8069F"/>
    <w:rsid w:val="00D92824"/>
    <w:rsid w:val="00D97BC0"/>
    <w:rsid w:val="00DA2024"/>
    <w:rsid w:val="00DA401F"/>
    <w:rsid w:val="00DA6508"/>
    <w:rsid w:val="00DC4ABC"/>
    <w:rsid w:val="00DD2EC7"/>
    <w:rsid w:val="00DD697B"/>
    <w:rsid w:val="00DE6175"/>
    <w:rsid w:val="00DF536B"/>
    <w:rsid w:val="00DF6EC6"/>
    <w:rsid w:val="00E02059"/>
    <w:rsid w:val="00E04B2C"/>
    <w:rsid w:val="00E10E24"/>
    <w:rsid w:val="00E135F2"/>
    <w:rsid w:val="00E2049A"/>
    <w:rsid w:val="00E244C3"/>
    <w:rsid w:val="00E34EEA"/>
    <w:rsid w:val="00E44207"/>
    <w:rsid w:val="00E47DA9"/>
    <w:rsid w:val="00E560AB"/>
    <w:rsid w:val="00E657F3"/>
    <w:rsid w:val="00E717BA"/>
    <w:rsid w:val="00E7246B"/>
    <w:rsid w:val="00E754BD"/>
    <w:rsid w:val="00E76442"/>
    <w:rsid w:val="00E9114F"/>
    <w:rsid w:val="00EA0D73"/>
    <w:rsid w:val="00EB39AA"/>
    <w:rsid w:val="00EC00F7"/>
    <w:rsid w:val="00EC13EF"/>
    <w:rsid w:val="00EC35C4"/>
    <w:rsid w:val="00EC7963"/>
    <w:rsid w:val="00ED59B4"/>
    <w:rsid w:val="00ED650E"/>
    <w:rsid w:val="00ED67AB"/>
    <w:rsid w:val="00EE10F6"/>
    <w:rsid w:val="00EE4305"/>
    <w:rsid w:val="00EE6A9F"/>
    <w:rsid w:val="00EF2E05"/>
    <w:rsid w:val="00EF6F7B"/>
    <w:rsid w:val="00EF72A7"/>
    <w:rsid w:val="00F00219"/>
    <w:rsid w:val="00F010D7"/>
    <w:rsid w:val="00F07C69"/>
    <w:rsid w:val="00F12A8E"/>
    <w:rsid w:val="00F1418C"/>
    <w:rsid w:val="00F16361"/>
    <w:rsid w:val="00F21E78"/>
    <w:rsid w:val="00F27FC0"/>
    <w:rsid w:val="00F34387"/>
    <w:rsid w:val="00F4122E"/>
    <w:rsid w:val="00F46FD4"/>
    <w:rsid w:val="00F669D6"/>
    <w:rsid w:val="00F7362A"/>
    <w:rsid w:val="00F771A4"/>
    <w:rsid w:val="00F8303D"/>
    <w:rsid w:val="00F9107F"/>
    <w:rsid w:val="00F954BB"/>
    <w:rsid w:val="00FB2ADC"/>
    <w:rsid w:val="00FB7194"/>
    <w:rsid w:val="00FD7B9A"/>
    <w:rsid w:val="00FE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F5"/>
    <w:rPr>
      <w:sz w:val="24"/>
      <w:szCs w:val="24"/>
    </w:rPr>
  </w:style>
  <w:style w:type="paragraph" w:styleId="Heading1">
    <w:name w:val="heading 1"/>
    <w:basedOn w:val="Normal"/>
    <w:next w:val="Normal"/>
    <w:link w:val="Heading1Char"/>
    <w:uiPriority w:val="99"/>
    <w:qFormat/>
    <w:rsid w:val="00B16BF5"/>
    <w:pPr>
      <w:keepNext/>
      <w:numPr>
        <w:numId w:val="17"/>
      </w:numPr>
      <w:tabs>
        <w:tab w:val="clear" w:pos="360"/>
        <w:tab w:val="num" w:pos="432"/>
      </w:tabs>
      <w:spacing w:before="240" w:after="60"/>
      <w:ind w:left="432" w:hanging="432"/>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16BF5"/>
    <w:pPr>
      <w:keepNext/>
      <w:numPr>
        <w:ilvl w:val="1"/>
        <w:numId w:val="17"/>
      </w:numPr>
      <w:tabs>
        <w:tab w:val="clear" w:pos="720"/>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16BF5"/>
    <w:pPr>
      <w:keepNext/>
      <w:numPr>
        <w:ilvl w:val="2"/>
        <w:numId w:val="17"/>
      </w:numPr>
      <w:tabs>
        <w:tab w:val="clear" w:pos="1080"/>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uiPriority w:val="99"/>
    <w:qFormat/>
    <w:rsid w:val="00B16BF5"/>
    <w:pPr>
      <w:keepNext/>
      <w:numPr>
        <w:ilvl w:val="3"/>
        <w:numId w:val="17"/>
      </w:numPr>
      <w:tabs>
        <w:tab w:val="clear" w:pos="1440"/>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B16BF5"/>
    <w:pPr>
      <w:numPr>
        <w:ilvl w:val="4"/>
        <w:numId w:val="17"/>
      </w:numPr>
      <w:tabs>
        <w:tab w:val="clear" w:pos="1800"/>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B16BF5"/>
    <w:pPr>
      <w:numPr>
        <w:ilvl w:val="5"/>
        <w:numId w:val="17"/>
      </w:numPr>
      <w:tabs>
        <w:tab w:val="clear" w:pos="2160"/>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B16BF5"/>
    <w:pPr>
      <w:numPr>
        <w:ilvl w:val="6"/>
        <w:numId w:val="17"/>
      </w:numPr>
      <w:tabs>
        <w:tab w:val="clear" w:pos="2520"/>
        <w:tab w:val="num" w:pos="1296"/>
      </w:tabs>
      <w:spacing w:before="240" w:after="60"/>
      <w:ind w:left="1296" w:hanging="1296"/>
      <w:outlineLvl w:val="6"/>
    </w:pPr>
  </w:style>
  <w:style w:type="paragraph" w:styleId="Heading8">
    <w:name w:val="heading 8"/>
    <w:basedOn w:val="Normal"/>
    <w:next w:val="Normal"/>
    <w:link w:val="Heading8Char"/>
    <w:uiPriority w:val="99"/>
    <w:qFormat/>
    <w:rsid w:val="00B16BF5"/>
    <w:pPr>
      <w:numPr>
        <w:ilvl w:val="7"/>
        <w:numId w:val="17"/>
      </w:numPr>
      <w:tabs>
        <w:tab w:val="clear" w:pos="2880"/>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B16BF5"/>
    <w:pPr>
      <w:numPr>
        <w:ilvl w:val="8"/>
        <w:numId w:val="17"/>
      </w:numPr>
      <w:tabs>
        <w:tab w:val="clear" w:pos="3240"/>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BD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4BD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4BD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4BD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94BD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94BD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94BD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94BD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94BD1"/>
    <w:rPr>
      <w:rFonts w:asciiTheme="majorHAnsi" w:eastAsiaTheme="majorEastAsia" w:hAnsiTheme="majorHAnsi" w:cstheme="majorBidi"/>
    </w:rPr>
  </w:style>
  <w:style w:type="paragraph" w:styleId="TOC2">
    <w:name w:val="toc 2"/>
    <w:basedOn w:val="Normal"/>
    <w:next w:val="Normal"/>
    <w:autoRedefine/>
    <w:uiPriority w:val="39"/>
    <w:rsid w:val="00B16BF5"/>
    <w:pPr>
      <w:ind w:left="240"/>
    </w:pPr>
  </w:style>
  <w:style w:type="paragraph" w:styleId="TOC3">
    <w:name w:val="toc 3"/>
    <w:basedOn w:val="Normal"/>
    <w:next w:val="Normal"/>
    <w:autoRedefine/>
    <w:uiPriority w:val="39"/>
    <w:rsid w:val="00B16BF5"/>
    <w:pPr>
      <w:ind w:left="480"/>
    </w:pPr>
  </w:style>
  <w:style w:type="character" w:styleId="Hyperlink">
    <w:name w:val="Hyperlink"/>
    <w:basedOn w:val="DefaultParagraphFont"/>
    <w:uiPriority w:val="99"/>
    <w:rsid w:val="00B16BF5"/>
    <w:rPr>
      <w:rFonts w:cs="Times New Roman"/>
      <w:color w:val="0000FF"/>
      <w:u w:val="single"/>
    </w:rPr>
  </w:style>
  <w:style w:type="paragraph" w:styleId="TOC1">
    <w:name w:val="toc 1"/>
    <w:basedOn w:val="Normal"/>
    <w:next w:val="Normal"/>
    <w:autoRedefine/>
    <w:uiPriority w:val="39"/>
    <w:rsid w:val="00B16BF5"/>
  </w:style>
  <w:style w:type="paragraph" w:styleId="Header">
    <w:name w:val="header"/>
    <w:basedOn w:val="Normal"/>
    <w:link w:val="HeaderChar"/>
    <w:uiPriority w:val="99"/>
    <w:rsid w:val="00B16BF5"/>
    <w:pPr>
      <w:tabs>
        <w:tab w:val="center" w:pos="4320"/>
        <w:tab w:val="right" w:pos="8640"/>
      </w:tabs>
    </w:pPr>
  </w:style>
  <w:style w:type="character" w:customStyle="1" w:styleId="HeaderChar">
    <w:name w:val="Header Char"/>
    <w:basedOn w:val="DefaultParagraphFont"/>
    <w:link w:val="Header"/>
    <w:uiPriority w:val="99"/>
    <w:semiHidden/>
    <w:rsid w:val="00394BD1"/>
    <w:rPr>
      <w:sz w:val="24"/>
      <w:szCs w:val="24"/>
    </w:rPr>
  </w:style>
  <w:style w:type="paragraph" w:styleId="Footer">
    <w:name w:val="footer"/>
    <w:basedOn w:val="Normal"/>
    <w:link w:val="FooterChar"/>
    <w:uiPriority w:val="99"/>
    <w:rsid w:val="00B16BF5"/>
    <w:pPr>
      <w:tabs>
        <w:tab w:val="center" w:pos="4320"/>
        <w:tab w:val="right" w:pos="8640"/>
      </w:tabs>
    </w:pPr>
  </w:style>
  <w:style w:type="character" w:customStyle="1" w:styleId="FooterChar">
    <w:name w:val="Footer Char"/>
    <w:basedOn w:val="DefaultParagraphFont"/>
    <w:link w:val="Footer"/>
    <w:uiPriority w:val="99"/>
    <w:rsid w:val="00394BD1"/>
    <w:rPr>
      <w:sz w:val="24"/>
      <w:szCs w:val="24"/>
    </w:rPr>
  </w:style>
  <w:style w:type="character" w:styleId="PageNumber">
    <w:name w:val="page number"/>
    <w:basedOn w:val="DefaultParagraphFont"/>
    <w:uiPriority w:val="99"/>
    <w:rsid w:val="00B16BF5"/>
    <w:rPr>
      <w:rFonts w:cs="Times New Roman"/>
    </w:rPr>
  </w:style>
  <w:style w:type="character" w:styleId="FollowedHyperlink">
    <w:name w:val="FollowedHyperlink"/>
    <w:basedOn w:val="DefaultParagraphFont"/>
    <w:uiPriority w:val="99"/>
    <w:rsid w:val="00B16BF5"/>
    <w:rPr>
      <w:rFonts w:cs="Times New Roman"/>
      <w:color w:val="800080"/>
      <w:u w:val="single"/>
    </w:rPr>
  </w:style>
  <w:style w:type="paragraph" w:styleId="BalloonText">
    <w:name w:val="Balloon Text"/>
    <w:basedOn w:val="Normal"/>
    <w:link w:val="BalloonTextChar"/>
    <w:uiPriority w:val="99"/>
    <w:semiHidden/>
    <w:rsid w:val="00B16BF5"/>
    <w:rPr>
      <w:rFonts w:ascii="Tahoma" w:hAnsi="Tahoma" w:cs="Tahoma"/>
      <w:sz w:val="16"/>
      <w:szCs w:val="16"/>
    </w:rPr>
  </w:style>
  <w:style w:type="character" w:customStyle="1" w:styleId="BalloonTextChar">
    <w:name w:val="Balloon Text Char"/>
    <w:basedOn w:val="DefaultParagraphFont"/>
    <w:link w:val="BalloonText"/>
    <w:uiPriority w:val="99"/>
    <w:semiHidden/>
    <w:rsid w:val="00394BD1"/>
    <w:rPr>
      <w:sz w:val="0"/>
      <w:szCs w:val="0"/>
    </w:rPr>
  </w:style>
  <w:style w:type="paragraph" w:styleId="FootnoteText">
    <w:name w:val="footnote text"/>
    <w:basedOn w:val="Normal"/>
    <w:link w:val="FootnoteTextChar"/>
    <w:uiPriority w:val="99"/>
    <w:semiHidden/>
    <w:rsid w:val="00B16BF5"/>
    <w:rPr>
      <w:sz w:val="20"/>
      <w:szCs w:val="20"/>
    </w:rPr>
  </w:style>
  <w:style w:type="character" w:customStyle="1" w:styleId="FootnoteTextChar">
    <w:name w:val="Footnote Text Char"/>
    <w:basedOn w:val="DefaultParagraphFont"/>
    <w:link w:val="FootnoteText"/>
    <w:uiPriority w:val="99"/>
    <w:semiHidden/>
    <w:rsid w:val="00394BD1"/>
    <w:rPr>
      <w:sz w:val="20"/>
      <w:szCs w:val="20"/>
    </w:rPr>
  </w:style>
  <w:style w:type="character" w:styleId="FootnoteReference">
    <w:name w:val="footnote reference"/>
    <w:aliases w:val="o"/>
    <w:basedOn w:val="DefaultParagraphFont"/>
    <w:uiPriority w:val="99"/>
    <w:semiHidden/>
    <w:rsid w:val="00B16BF5"/>
    <w:rPr>
      <w:rFonts w:cs="Times New Roman"/>
      <w:vertAlign w:val="superscript"/>
    </w:rPr>
  </w:style>
  <w:style w:type="character" w:styleId="CommentReference">
    <w:name w:val="annotation reference"/>
    <w:basedOn w:val="DefaultParagraphFont"/>
    <w:uiPriority w:val="99"/>
    <w:semiHidden/>
    <w:rsid w:val="00B16BF5"/>
    <w:rPr>
      <w:rFonts w:cs="Times New Roman"/>
      <w:sz w:val="16"/>
      <w:szCs w:val="16"/>
    </w:rPr>
  </w:style>
  <w:style w:type="paragraph" w:styleId="CommentText">
    <w:name w:val="annotation text"/>
    <w:basedOn w:val="Normal"/>
    <w:link w:val="CommentTextChar"/>
    <w:uiPriority w:val="99"/>
    <w:semiHidden/>
    <w:rsid w:val="00B16BF5"/>
    <w:rPr>
      <w:sz w:val="20"/>
      <w:szCs w:val="20"/>
    </w:rPr>
  </w:style>
  <w:style w:type="character" w:customStyle="1" w:styleId="CommentTextChar">
    <w:name w:val="Comment Text Char"/>
    <w:basedOn w:val="DefaultParagraphFont"/>
    <w:link w:val="CommentText"/>
    <w:uiPriority w:val="99"/>
    <w:semiHidden/>
    <w:rsid w:val="00394BD1"/>
    <w:rPr>
      <w:sz w:val="20"/>
      <w:szCs w:val="20"/>
    </w:rPr>
  </w:style>
  <w:style w:type="table" w:styleId="TableGrid">
    <w:name w:val="Table Grid"/>
    <w:basedOn w:val="TableNormal"/>
    <w:uiPriority w:val="99"/>
    <w:rsid w:val="00B16B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qFormat/>
    <w:rsid w:val="00B16BF5"/>
    <w:rPr>
      <w:b/>
      <w:bCs/>
      <w:sz w:val="20"/>
      <w:szCs w:val="20"/>
    </w:rPr>
  </w:style>
  <w:style w:type="character" w:customStyle="1" w:styleId="CaptionChar">
    <w:name w:val="Caption Char"/>
    <w:basedOn w:val="DefaultParagraphFont"/>
    <w:link w:val="Caption"/>
    <w:locked/>
    <w:rsid w:val="00B16BF5"/>
    <w:rPr>
      <w:rFonts w:cs="Times New Roman"/>
      <w:b/>
      <w:bCs/>
      <w:lang w:val="en-US" w:eastAsia="en-US" w:bidi="ar-SA"/>
    </w:rPr>
  </w:style>
  <w:style w:type="paragraph" w:customStyle="1" w:styleId="sub1">
    <w:name w:val="sub1"/>
    <w:basedOn w:val="Normal"/>
    <w:uiPriority w:val="99"/>
    <w:rsid w:val="00B16BF5"/>
    <w:pPr>
      <w:spacing w:line="360" w:lineRule="auto"/>
      <w:ind w:firstLine="720"/>
    </w:pPr>
    <w:rPr>
      <w:rFonts w:ascii="Palatino" w:hAnsi="Palatino"/>
      <w:sz w:val="26"/>
      <w:szCs w:val="20"/>
    </w:rPr>
  </w:style>
  <w:style w:type="paragraph" w:styleId="ListBullet">
    <w:name w:val="List Bullet"/>
    <w:basedOn w:val="Normal"/>
    <w:link w:val="ListBulletChar"/>
    <w:uiPriority w:val="99"/>
    <w:rsid w:val="00B16BF5"/>
    <w:pPr>
      <w:tabs>
        <w:tab w:val="num" w:pos="360"/>
      </w:tabs>
      <w:ind w:left="360" w:hanging="360"/>
    </w:pPr>
  </w:style>
  <w:style w:type="character" w:customStyle="1" w:styleId="ListBulletChar">
    <w:name w:val="List Bullet Char"/>
    <w:basedOn w:val="DefaultParagraphFont"/>
    <w:link w:val="ListBullet"/>
    <w:uiPriority w:val="99"/>
    <w:locked/>
    <w:rsid w:val="00B16BF5"/>
    <w:rPr>
      <w:rFonts w:cs="Times New Roman"/>
      <w:sz w:val="24"/>
      <w:szCs w:val="24"/>
      <w:lang w:val="en-US" w:eastAsia="en-US" w:bidi="ar-SA"/>
    </w:rPr>
  </w:style>
  <w:style w:type="paragraph" w:customStyle="1" w:styleId="Noraml">
    <w:name w:val="Noraml"/>
    <w:basedOn w:val="Normal"/>
    <w:uiPriority w:val="99"/>
    <w:rsid w:val="00B16BF5"/>
    <w:pPr>
      <w:spacing w:line="360" w:lineRule="auto"/>
      <w:ind w:firstLine="720"/>
    </w:pPr>
    <w:rPr>
      <w:rFonts w:ascii="Palatino" w:hAnsi="Palatino"/>
      <w:sz w:val="26"/>
      <w:szCs w:val="20"/>
    </w:rPr>
  </w:style>
  <w:style w:type="paragraph" w:styleId="ListParagraph">
    <w:name w:val="List Paragraph"/>
    <w:basedOn w:val="Normal"/>
    <w:uiPriority w:val="99"/>
    <w:qFormat/>
    <w:rsid w:val="00B16BF5"/>
    <w:pPr>
      <w:spacing w:after="200" w:line="276" w:lineRule="auto"/>
      <w:ind w:left="720"/>
      <w:contextualSpacing/>
    </w:pPr>
    <w:rPr>
      <w:rFonts w:ascii="Calibri" w:hAnsi="Calibri"/>
      <w:sz w:val="22"/>
      <w:szCs w:val="22"/>
    </w:rPr>
  </w:style>
  <w:style w:type="paragraph" w:styleId="TableofFigures">
    <w:name w:val="table of figures"/>
    <w:basedOn w:val="Normal"/>
    <w:next w:val="Normal"/>
    <w:uiPriority w:val="99"/>
    <w:rsid w:val="00B16BF5"/>
    <w:pPr>
      <w:ind w:left="480" w:hanging="480"/>
    </w:pPr>
  </w:style>
  <w:style w:type="paragraph" w:styleId="CommentSubject">
    <w:name w:val="annotation subject"/>
    <w:basedOn w:val="CommentText"/>
    <w:next w:val="CommentText"/>
    <w:link w:val="CommentSubjectChar"/>
    <w:uiPriority w:val="99"/>
    <w:semiHidden/>
    <w:rsid w:val="00B16BF5"/>
    <w:rPr>
      <w:b/>
      <w:bCs/>
    </w:rPr>
  </w:style>
  <w:style w:type="character" w:customStyle="1" w:styleId="CommentSubjectChar">
    <w:name w:val="Comment Subject Char"/>
    <w:basedOn w:val="CommentTextChar"/>
    <w:link w:val="CommentSubject"/>
    <w:uiPriority w:val="99"/>
    <w:semiHidden/>
    <w:rsid w:val="00394BD1"/>
    <w:rPr>
      <w:b/>
      <w:bCs/>
      <w:sz w:val="20"/>
      <w:szCs w:val="20"/>
    </w:rPr>
  </w:style>
  <w:style w:type="paragraph" w:styleId="Subtitle">
    <w:name w:val="Subtitle"/>
    <w:basedOn w:val="Normal"/>
    <w:link w:val="SubtitleChar"/>
    <w:uiPriority w:val="99"/>
    <w:qFormat/>
    <w:rsid w:val="00B16BF5"/>
    <w:pPr>
      <w:spacing w:after="60"/>
      <w:jc w:val="center"/>
    </w:pPr>
    <w:rPr>
      <w:rFonts w:ascii="Arial" w:hAnsi="Arial"/>
      <w:sz w:val="26"/>
      <w:szCs w:val="20"/>
    </w:rPr>
  </w:style>
  <w:style w:type="character" w:customStyle="1" w:styleId="SubtitleChar">
    <w:name w:val="Subtitle Char"/>
    <w:basedOn w:val="DefaultParagraphFont"/>
    <w:link w:val="Subtitle"/>
    <w:uiPriority w:val="11"/>
    <w:rsid w:val="00394BD1"/>
    <w:rPr>
      <w:rFonts w:asciiTheme="majorHAnsi" w:eastAsiaTheme="majorEastAsia" w:hAnsiTheme="majorHAnsi" w:cstheme="majorBidi"/>
      <w:sz w:val="24"/>
      <w:szCs w:val="24"/>
    </w:rPr>
  </w:style>
  <w:style w:type="character" w:styleId="Strong">
    <w:name w:val="Strong"/>
    <w:basedOn w:val="DefaultParagraphFont"/>
    <w:uiPriority w:val="99"/>
    <w:qFormat/>
    <w:rsid w:val="00B16BF5"/>
    <w:rPr>
      <w:rFonts w:cs="Times New Roman"/>
      <w:b/>
      <w:bCs/>
    </w:rPr>
  </w:style>
  <w:style w:type="character" w:customStyle="1" w:styleId="CharChar2">
    <w:name w:val="Char Char2"/>
    <w:basedOn w:val="DefaultParagraphFont"/>
    <w:uiPriority w:val="99"/>
    <w:rsid w:val="00B16BF5"/>
    <w:rPr>
      <w:rFonts w:cs="Times New Roman"/>
      <w:b/>
      <w:bCs/>
      <w:lang w:val="en-US" w:eastAsia="en-US" w:bidi="ar-SA"/>
    </w:rPr>
  </w:style>
  <w:style w:type="paragraph" w:styleId="Revision">
    <w:name w:val="Revision"/>
    <w:hidden/>
    <w:uiPriority w:val="99"/>
    <w:semiHidden/>
    <w:rsid w:val="003310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F5"/>
    <w:rPr>
      <w:sz w:val="24"/>
      <w:szCs w:val="24"/>
    </w:rPr>
  </w:style>
  <w:style w:type="paragraph" w:styleId="Heading1">
    <w:name w:val="heading 1"/>
    <w:basedOn w:val="Normal"/>
    <w:next w:val="Normal"/>
    <w:link w:val="Heading1Char"/>
    <w:uiPriority w:val="99"/>
    <w:qFormat/>
    <w:rsid w:val="00B16BF5"/>
    <w:pPr>
      <w:keepNext/>
      <w:numPr>
        <w:numId w:val="17"/>
      </w:numPr>
      <w:tabs>
        <w:tab w:val="clear" w:pos="360"/>
        <w:tab w:val="num" w:pos="432"/>
      </w:tabs>
      <w:spacing w:before="240" w:after="60"/>
      <w:ind w:left="432" w:hanging="432"/>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16BF5"/>
    <w:pPr>
      <w:keepNext/>
      <w:numPr>
        <w:ilvl w:val="1"/>
        <w:numId w:val="17"/>
      </w:numPr>
      <w:tabs>
        <w:tab w:val="clear" w:pos="720"/>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16BF5"/>
    <w:pPr>
      <w:keepNext/>
      <w:numPr>
        <w:ilvl w:val="2"/>
        <w:numId w:val="17"/>
      </w:numPr>
      <w:tabs>
        <w:tab w:val="clear" w:pos="1080"/>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uiPriority w:val="99"/>
    <w:qFormat/>
    <w:rsid w:val="00B16BF5"/>
    <w:pPr>
      <w:keepNext/>
      <w:numPr>
        <w:ilvl w:val="3"/>
        <w:numId w:val="17"/>
      </w:numPr>
      <w:tabs>
        <w:tab w:val="clear" w:pos="1440"/>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B16BF5"/>
    <w:pPr>
      <w:numPr>
        <w:ilvl w:val="4"/>
        <w:numId w:val="17"/>
      </w:numPr>
      <w:tabs>
        <w:tab w:val="clear" w:pos="1800"/>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B16BF5"/>
    <w:pPr>
      <w:numPr>
        <w:ilvl w:val="5"/>
        <w:numId w:val="17"/>
      </w:numPr>
      <w:tabs>
        <w:tab w:val="clear" w:pos="2160"/>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B16BF5"/>
    <w:pPr>
      <w:numPr>
        <w:ilvl w:val="6"/>
        <w:numId w:val="17"/>
      </w:numPr>
      <w:tabs>
        <w:tab w:val="clear" w:pos="2520"/>
        <w:tab w:val="num" w:pos="1296"/>
      </w:tabs>
      <w:spacing w:before="240" w:after="60"/>
      <w:ind w:left="1296" w:hanging="1296"/>
      <w:outlineLvl w:val="6"/>
    </w:pPr>
  </w:style>
  <w:style w:type="paragraph" w:styleId="Heading8">
    <w:name w:val="heading 8"/>
    <w:basedOn w:val="Normal"/>
    <w:next w:val="Normal"/>
    <w:link w:val="Heading8Char"/>
    <w:uiPriority w:val="99"/>
    <w:qFormat/>
    <w:rsid w:val="00B16BF5"/>
    <w:pPr>
      <w:numPr>
        <w:ilvl w:val="7"/>
        <w:numId w:val="17"/>
      </w:numPr>
      <w:tabs>
        <w:tab w:val="clear" w:pos="2880"/>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B16BF5"/>
    <w:pPr>
      <w:numPr>
        <w:ilvl w:val="8"/>
        <w:numId w:val="17"/>
      </w:numPr>
      <w:tabs>
        <w:tab w:val="clear" w:pos="3240"/>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BD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4BD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4BD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4BD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94BD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94BD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94BD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94BD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94BD1"/>
    <w:rPr>
      <w:rFonts w:asciiTheme="majorHAnsi" w:eastAsiaTheme="majorEastAsia" w:hAnsiTheme="majorHAnsi" w:cstheme="majorBidi"/>
    </w:rPr>
  </w:style>
  <w:style w:type="paragraph" w:styleId="TOC2">
    <w:name w:val="toc 2"/>
    <w:basedOn w:val="Normal"/>
    <w:next w:val="Normal"/>
    <w:autoRedefine/>
    <w:uiPriority w:val="39"/>
    <w:rsid w:val="00B16BF5"/>
    <w:pPr>
      <w:ind w:left="240"/>
    </w:pPr>
  </w:style>
  <w:style w:type="paragraph" w:styleId="TOC3">
    <w:name w:val="toc 3"/>
    <w:basedOn w:val="Normal"/>
    <w:next w:val="Normal"/>
    <w:autoRedefine/>
    <w:uiPriority w:val="39"/>
    <w:rsid w:val="00B16BF5"/>
    <w:pPr>
      <w:ind w:left="480"/>
    </w:pPr>
  </w:style>
  <w:style w:type="character" w:styleId="Hyperlink">
    <w:name w:val="Hyperlink"/>
    <w:basedOn w:val="DefaultParagraphFont"/>
    <w:uiPriority w:val="99"/>
    <w:rsid w:val="00B16BF5"/>
    <w:rPr>
      <w:rFonts w:cs="Times New Roman"/>
      <w:color w:val="0000FF"/>
      <w:u w:val="single"/>
    </w:rPr>
  </w:style>
  <w:style w:type="paragraph" w:styleId="TOC1">
    <w:name w:val="toc 1"/>
    <w:basedOn w:val="Normal"/>
    <w:next w:val="Normal"/>
    <w:autoRedefine/>
    <w:uiPriority w:val="39"/>
    <w:rsid w:val="00B16BF5"/>
  </w:style>
  <w:style w:type="paragraph" w:styleId="Header">
    <w:name w:val="header"/>
    <w:basedOn w:val="Normal"/>
    <w:link w:val="HeaderChar"/>
    <w:uiPriority w:val="99"/>
    <w:rsid w:val="00B16BF5"/>
    <w:pPr>
      <w:tabs>
        <w:tab w:val="center" w:pos="4320"/>
        <w:tab w:val="right" w:pos="8640"/>
      </w:tabs>
    </w:pPr>
  </w:style>
  <w:style w:type="character" w:customStyle="1" w:styleId="HeaderChar">
    <w:name w:val="Header Char"/>
    <w:basedOn w:val="DefaultParagraphFont"/>
    <w:link w:val="Header"/>
    <w:uiPriority w:val="99"/>
    <w:semiHidden/>
    <w:rsid w:val="00394BD1"/>
    <w:rPr>
      <w:sz w:val="24"/>
      <w:szCs w:val="24"/>
    </w:rPr>
  </w:style>
  <w:style w:type="paragraph" w:styleId="Footer">
    <w:name w:val="footer"/>
    <w:basedOn w:val="Normal"/>
    <w:link w:val="FooterChar"/>
    <w:uiPriority w:val="99"/>
    <w:rsid w:val="00B16BF5"/>
    <w:pPr>
      <w:tabs>
        <w:tab w:val="center" w:pos="4320"/>
        <w:tab w:val="right" w:pos="8640"/>
      </w:tabs>
    </w:pPr>
  </w:style>
  <w:style w:type="character" w:customStyle="1" w:styleId="FooterChar">
    <w:name w:val="Footer Char"/>
    <w:basedOn w:val="DefaultParagraphFont"/>
    <w:link w:val="Footer"/>
    <w:uiPriority w:val="99"/>
    <w:rsid w:val="00394BD1"/>
    <w:rPr>
      <w:sz w:val="24"/>
      <w:szCs w:val="24"/>
    </w:rPr>
  </w:style>
  <w:style w:type="character" w:styleId="PageNumber">
    <w:name w:val="page number"/>
    <w:basedOn w:val="DefaultParagraphFont"/>
    <w:uiPriority w:val="99"/>
    <w:rsid w:val="00B16BF5"/>
    <w:rPr>
      <w:rFonts w:cs="Times New Roman"/>
    </w:rPr>
  </w:style>
  <w:style w:type="character" w:styleId="FollowedHyperlink">
    <w:name w:val="FollowedHyperlink"/>
    <w:basedOn w:val="DefaultParagraphFont"/>
    <w:uiPriority w:val="99"/>
    <w:rsid w:val="00B16BF5"/>
    <w:rPr>
      <w:rFonts w:cs="Times New Roman"/>
      <w:color w:val="800080"/>
      <w:u w:val="single"/>
    </w:rPr>
  </w:style>
  <w:style w:type="paragraph" w:styleId="BalloonText">
    <w:name w:val="Balloon Text"/>
    <w:basedOn w:val="Normal"/>
    <w:link w:val="BalloonTextChar"/>
    <w:uiPriority w:val="99"/>
    <w:semiHidden/>
    <w:rsid w:val="00B16BF5"/>
    <w:rPr>
      <w:rFonts w:ascii="Tahoma" w:hAnsi="Tahoma" w:cs="Tahoma"/>
      <w:sz w:val="16"/>
      <w:szCs w:val="16"/>
    </w:rPr>
  </w:style>
  <w:style w:type="character" w:customStyle="1" w:styleId="BalloonTextChar">
    <w:name w:val="Balloon Text Char"/>
    <w:basedOn w:val="DefaultParagraphFont"/>
    <w:link w:val="BalloonText"/>
    <w:uiPriority w:val="99"/>
    <w:semiHidden/>
    <w:rsid w:val="00394BD1"/>
    <w:rPr>
      <w:sz w:val="0"/>
      <w:szCs w:val="0"/>
    </w:rPr>
  </w:style>
  <w:style w:type="paragraph" w:styleId="FootnoteText">
    <w:name w:val="footnote text"/>
    <w:basedOn w:val="Normal"/>
    <w:link w:val="FootnoteTextChar"/>
    <w:uiPriority w:val="99"/>
    <w:semiHidden/>
    <w:rsid w:val="00B16BF5"/>
    <w:rPr>
      <w:sz w:val="20"/>
      <w:szCs w:val="20"/>
    </w:rPr>
  </w:style>
  <w:style w:type="character" w:customStyle="1" w:styleId="FootnoteTextChar">
    <w:name w:val="Footnote Text Char"/>
    <w:basedOn w:val="DefaultParagraphFont"/>
    <w:link w:val="FootnoteText"/>
    <w:uiPriority w:val="99"/>
    <w:semiHidden/>
    <w:rsid w:val="00394BD1"/>
    <w:rPr>
      <w:sz w:val="20"/>
      <w:szCs w:val="20"/>
    </w:rPr>
  </w:style>
  <w:style w:type="character" w:styleId="FootnoteReference">
    <w:name w:val="footnote reference"/>
    <w:aliases w:val="o"/>
    <w:basedOn w:val="DefaultParagraphFont"/>
    <w:uiPriority w:val="99"/>
    <w:semiHidden/>
    <w:rsid w:val="00B16BF5"/>
    <w:rPr>
      <w:rFonts w:cs="Times New Roman"/>
      <w:vertAlign w:val="superscript"/>
    </w:rPr>
  </w:style>
  <w:style w:type="character" w:styleId="CommentReference">
    <w:name w:val="annotation reference"/>
    <w:basedOn w:val="DefaultParagraphFont"/>
    <w:uiPriority w:val="99"/>
    <w:semiHidden/>
    <w:rsid w:val="00B16BF5"/>
    <w:rPr>
      <w:rFonts w:cs="Times New Roman"/>
      <w:sz w:val="16"/>
      <w:szCs w:val="16"/>
    </w:rPr>
  </w:style>
  <w:style w:type="paragraph" w:styleId="CommentText">
    <w:name w:val="annotation text"/>
    <w:basedOn w:val="Normal"/>
    <w:link w:val="CommentTextChar"/>
    <w:uiPriority w:val="99"/>
    <w:semiHidden/>
    <w:rsid w:val="00B16BF5"/>
    <w:rPr>
      <w:sz w:val="20"/>
      <w:szCs w:val="20"/>
    </w:rPr>
  </w:style>
  <w:style w:type="character" w:customStyle="1" w:styleId="CommentTextChar">
    <w:name w:val="Comment Text Char"/>
    <w:basedOn w:val="DefaultParagraphFont"/>
    <w:link w:val="CommentText"/>
    <w:uiPriority w:val="99"/>
    <w:semiHidden/>
    <w:rsid w:val="00394BD1"/>
    <w:rPr>
      <w:sz w:val="20"/>
      <w:szCs w:val="20"/>
    </w:rPr>
  </w:style>
  <w:style w:type="table" w:styleId="TableGrid">
    <w:name w:val="Table Grid"/>
    <w:basedOn w:val="TableNormal"/>
    <w:uiPriority w:val="99"/>
    <w:rsid w:val="00B16B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qFormat/>
    <w:rsid w:val="00B16BF5"/>
    <w:rPr>
      <w:b/>
      <w:bCs/>
      <w:sz w:val="20"/>
      <w:szCs w:val="20"/>
    </w:rPr>
  </w:style>
  <w:style w:type="character" w:customStyle="1" w:styleId="CaptionChar">
    <w:name w:val="Caption Char"/>
    <w:basedOn w:val="DefaultParagraphFont"/>
    <w:link w:val="Caption"/>
    <w:locked/>
    <w:rsid w:val="00B16BF5"/>
    <w:rPr>
      <w:rFonts w:cs="Times New Roman"/>
      <w:b/>
      <w:bCs/>
      <w:lang w:val="en-US" w:eastAsia="en-US" w:bidi="ar-SA"/>
    </w:rPr>
  </w:style>
  <w:style w:type="paragraph" w:customStyle="1" w:styleId="sub1">
    <w:name w:val="sub1"/>
    <w:basedOn w:val="Normal"/>
    <w:uiPriority w:val="99"/>
    <w:rsid w:val="00B16BF5"/>
    <w:pPr>
      <w:spacing w:line="360" w:lineRule="auto"/>
      <w:ind w:firstLine="720"/>
    </w:pPr>
    <w:rPr>
      <w:rFonts w:ascii="Palatino" w:hAnsi="Palatino"/>
      <w:sz w:val="26"/>
      <w:szCs w:val="20"/>
    </w:rPr>
  </w:style>
  <w:style w:type="paragraph" w:styleId="ListBullet">
    <w:name w:val="List Bullet"/>
    <w:basedOn w:val="Normal"/>
    <w:link w:val="ListBulletChar"/>
    <w:uiPriority w:val="99"/>
    <w:rsid w:val="00B16BF5"/>
    <w:pPr>
      <w:tabs>
        <w:tab w:val="num" w:pos="360"/>
      </w:tabs>
      <w:ind w:left="360" w:hanging="360"/>
    </w:pPr>
  </w:style>
  <w:style w:type="character" w:customStyle="1" w:styleId="ListBulletChar">
    <w:name w:val="List Bullet Char"/>
    <w:basedOn w:val="DefaultParagraphFont"/>
    <w:link w:val="ListBullet"/>
    <w:uiPriority w:val="99"/>
    <w:locked/>
    <w:rsid w:val="00B16BF5"/>
    <w:rPr>
      <w:rFonts w:cs="Times New Roman"/>
      <w:sz w:val="24"/>
      <w:szCs w:val="24"/>
      <w:lang w:val="en-US" w:eastAsia="en-US" w:bidi="ar-SA"/>
    </w:rPr>
  </w:style>
  <w:style w:type="paragraph" w:customStyle="1" w:styleId="Noraml">
    <w:name w:val="Noraml"/>
    <w:basedOn w:val="Normal"/>
    <w:uiPriority w:val="99"/>
    <w:rsid w:val="00B16BF5"/>
    <w:pPr>
      <w:spacing w:line="360" w:lineRule="auto"/>
      <w:ind w:firstLine="720"/>
    </w:pPr>
    <w:rPr>
      <w:rFonts w:ascii="Palatino" w:hAnsi="Palatino"/>
      <w:sz w:val="26"/>
      <w:szCs w:val="20"/>
    </w:rPr>
  </w:style>
  <w:style w:type="paragraph" w:styleId="ListParagraph">
    <w:name w:val="List Paragraph"/>
    <w:basedOn w:val="Normal"/>
    <w:uiPriority w:val="99"/>
    <w:qFormat/>
    <w:rsid w:val="00B16BF5"/>
    <w:pPr>
      <w:spacing w:after="200" w:line="276" w:lineRule="auto"/>
      <w:ind w:left="720"/>
      <w:contextualSpacing/>
    </w:pPr>
    <w:rPr>
      <w:rFonts w:ascii="Calibri" w:hAnsi="Calibri"/>
      <w:sz w:val="22"/>
      <w:szCs w:val="22"/>
    </w:rPr>
  </w:style>
  <w:style w:type="paragraph" w:styleId="TableofFigures">
    <w:name w:val="table of figures"/>
    <w:basedOn w:val="Normal"/>
    <w:next w:val="Normal"/>
    <w:uiPriority w:val="99"/>
    <w:rsid w:val="00B16BF5"/>
    <w:pPr>
      <w:ind w:left="480" w:hanging="480"/>
    </w:pPr>
  </w:style>
  <w:style w:type="paragraph" w:styleId="CommentSubject">
    <w:name w:val="annotation subject"/>
    <w:basedOn w:val="CommentText"/>
    <w:next w:val="CommentText"/>
    <w:link w:val="CommentSubjectChar"/>
    <w:uiPriority w:val="99"/>
    <w:semiHidden/>
    <w:rsid w:val="00B16BF5"/>
    <w:rPr>
      <w:b/>
      <w:bCs/>
    </w:rPr>
  </w:style>
  <w:style w:type="character" w:customStyle="1" w:styleId="CommentSubjectChar">
    <w:name w:val="Comment Subject Char"/>
    <w:basedOn w:val="CommentTextChar"/>
    <w:link w:val="CommentSubject"/>
    <w:uiPriority w:val="99"/>
    <w:semiHidden/>
    <w:rsid w:val="00394BD1"/>
    <w:rPr>
      <w:b/>
      <w:bCs/>
      <w:sz w:val="20"/>
      <w:szCs w:val="20"/>
    </w:rPr>
  </w:style>
  <w:style w:type="paragraph" w:styleId="Subtitle">
    <w:name w:val="Subtitle"/>
    <w:basedOn w:val="Normal"/>
    <w:link w:val="SubtitleChar"/>
    <w:uiPriority w:val="99"/>
    <w:qFormat/>
    <w:rsid w:val="00B16BF5"/>
    <w:pPr>
      <w:spacing w:after="60"/>
      <w:jc w:val="center"/>
    </w:pPr>
    <w:rPr>
      <w:rFonts w:ascii="Arial" w:hAnsi="Arial"/>
      <w:sz w:val="26"/>
      <w:szCs w:val="20"/>
    </w:rPr>
  </w:style>
  <w:style w:type="character" w:customStyle="1" w:styleId="SubtitleChar">
    <w:name w:val="Subtitle Char"/>
    <w:basedOn w:val="DefaultParagraphFont"/>
    <w:link w:val="Subtitle"/>
    <w:uiPriority w:val="11"/>
    <w:rsid w:val="00394BD1"/>
    <w:rPr>
      <w:rFonts w:asciiTheme="majorHAnsi" w:eastAsiaTheme="majorEastAsia" w:hAnsiTheme="majorHAnsi" w:cstheme="majorBidi"/>
      <w:sz w:val="24"/>
      <w:szCs w:val="24"/>
    </w:rPr>
  </w:style>
  <w:style w:type="character" w:styleId="Strong">
    <w:name w:val="Strong"/>
    <w:basedOn w:val="DefaultParagraphFont"/>
    <w:uiPriority w:val="99"/>
    <w:qFormat/>
    <w:rsid w:val="00B16BF5"/>
    <w:rPr>
      <w:rFonts w:cs="Times New Roman"/>
      <w:b/>
      <w:bCs/>
    </w:rPr>
  </w:style>
  <w:style w:type="character" w:customStyle="1" w:styleId="CharChar2">
    <w:name w:val="Char Char2"/>
    <w:basedOn w:val="DefaultParagraphFont"/>
    <w:uiPriority w:val="99"/>
    <w:rsid w:val="00B16BF5"/>
    <w:rPr>
      <w:rFonts w:cs="Times New Roman"/>
      <w:b/>
      <w:bCs/>
      <w:lang w:val="en-US" w:eastAsia="en-US" w:bidi="ar-SA"/>
    </w:rPr>
  </w:style>
  <w:style w:type="paragraph" w:styleId="Revision">
    <w:name w:val="Revision"/>
    <w:hidden/>
    <w:uiPriority w:val="99"/>
    <w:semiHidden/>
    <w:rsid w:val="003310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53360">
      <w:marLeft w:val="0"/>
      <w:marRight w:val="0"/>
      <w:marTop w:val="0"/>
      <w:marBottom w:val="0"/>
      <w:divBdr>
        <w:top w:val="none" w:sz="0" w:space="0" w:color="auto"/>
        <w:left w:val="none" w:sz="0" w:space="0" w:color="auto"/>
        <w:bottom w:val="none" w:sz="0" w:space="0" w:color="auto"/>
        <w:right w:val="none" w:sz="0" w:space="0" w:color="auto"/>
      </w:divBdr>
    </w:div>
    <w:div w:id="264853361">
      <w:marLeft w:val="0"/>
      <w:marRight w:val="0"/>
      <w:marTop w:val="0"/>
      <w:marBottom w:val="0"/>
      <w:divBdr>
        <w:top w:val="none" w:sz="0" w:space="0" w:color="auto"/>
        <w:left w:val="none" w:sz="0" w:space="0" w:color="auto"/>
        <w:bottom w:val="none" w:sz="0" w:space="0" w:color="auto"/>
        <w:right w:val="none" w:sz="0" w:space="0" w:color="auto"/>
      </w:divBdr>
    </w:div>
    <w:div w:id="264853362">
      <w:marLeft w:val="0"/>
      <w:marRight w:val="0"/>
      <w:marTop w:val="0"/>
      <w:marBottom w:val="0"/>
      <w:divBdr>
        <w:top w:val="none" w:sz="0" w:space="0" w:color="auto"/>
        <w:left w:val="none" w:sz="0" w:space="0" w:color="auto"/>
        <w:bottom w:val="none" w:sz="0" w:space="0" w:color="auto"/>
        <w:right w:val="none" w:sz="0" w:space="0" w:color="auto"/>
      </w:divBdr>
    </w:div>
    <w:div w:id="264853363">
      <w:marLeft w:val="0"/>
      <w:marRight w:val="0"/>
      <w:marTop w:val="0"/>
      <w:marBottom w:val="0"/>
      <w:divBdr>
        <w:top w:val="none" w:sz="0" w:space="0" w:color="auto"/>
        <w:left w:val="none" w:sz="0" w:space="0" w:color="auto"/>
        <w:bottom w:val="none" w:sz="0" w:space="0" w:color="auto"/>
        <w:right w:val="none" w:sz="0" w:space="0" w:color="auto"/>
      </w:divBdr>
    </w:div>
    <w:div w:id="264853364">
      <w:marLeft w:val="0"/>
      <w:marRight w:val="0"/>
      <w:marTop w:val="0"/>
      <w:marBottom w:val="0"/>
      <w:divBdr>
        <w:top w:val="none" w:sz="0" w:space="0" w:color="auto"/>
        <w:left w:val="none" w:sz="0" w:space="0" w:color="auto"/>
        <w:bottom w:val="none" w:sz="0" w:space="0" w:color="auto"/>
        <w:right w:val="none" w:sz="0" w:space="0" w:color="auto"/>
      </w:divBdr>
    </w:div>
    <w:div w:id="264853365">
      <w:marLeft w:val="0"/>
      <w:marRight w:val="0"/>
      <w:marTop w:val="0"/>
      <w:marBottom w:val="0"/>
      <w:divBdr>
        <w:top w:val="none" w:sz="0" w:space="0" w:color="auto"/>
        <w:left w:val="none" w:sz="0" w:space="0" w:color="auto"/>
        <w:bottom w:val="none" w:sz="0" w:space="0" w:color="auto"/>
        <w:right w:val="none" w:sz="0" w:space="0" w:color="auto"/>
      </w:divBdr>
    </w:div>
    <w:div w:id="264853366">
      <w:marLeft w:val="0"/>
      <w:marRight w:val="0"/>
      <w:marTop w:val="0"/>
      <w:marBottom w:val="0"/>
      <w:divBdr>
        <w:top w:val="none" w:sz="0" w:space="0" w:color="auto"/>
        <w:left w:val="none" w:sz="0" w:space="0" w:color="auto"/>
        <w:bottom w:val="none" w:sz="0" w:space="0" w:color="auto"/>
        <w:right w:val="none" w:sz="0" w:space="0" w:color="auto"/>
      </w:divBdr>
    </w:div>
    <w:div w:id="264853367">
      <w:marLeft w:val="0"/>
      <w:marRight w:val="0"/>
      <w:marTop w:val="0"/>
      <w:marBottom w:val="0"/>
      <w:divBdr>
        <w:top w:val="none" w:sz="0" w:space="0" w:color="auto"/>
        <w:left w:val="none" w:sz="0" w:space="0" w:color="auto"/>
        <w:bottom w:val="none" w:sz="0" w:space="0" w:color="auto"/>
        <w:right w:val="none" w:sz="0" w:space="0" w:color="auto"/>
      </w:divBdr>
    </w:div>
    <w:div w:id="264853368">
      <w:marLeft w:val="0"/>
      <w:marRight w:val="0"/>
      <w:marTop w:val="0"/>
      <w:marBottom w:val="0"/>
      <w:divBdr>
        <w:top w:val="none" w:sz="0" w:space="0" w:color="auto"/>
        <w:left w:val="none" w:sz="0" w:space="0" w:color="auto"/>
        <w:bottom w:val="none" w:sz="0" w:space="0" w:color="auto"/>
        <w:right w:val="none" w:sz="0" w:space="0" w:color="auto"/>
      </w:divBdr>
    </w:div>
    <w:div w:id="264853369">
      <w:marLeft w:val="0"/>
      <w:marRight w:val="0"/>
      <w:marTop w:val="0"/>
      <w:marBottom w:val="0"/>
      <w:divBdr>
        <w:top w:val="none" w:sz="0" w:space="0" w:color="auto"/>
        <w:left w:val="none" w:sz="0" w:space="0" w:color="auto"/>
        <w:bottom w:val="none" w:sz="0" w:space="0" w:color="auto"/>
        <w:right w:val="none" w:sz="0" w:space="0" w:color="auto"/>
      </w:divBdr>
    </w:div>
    <w:div w:id="264853370">
      <w:marLeft w:val="0"/>
      <w:marRight w:val="0"/>
      <w:marTop w:val="0"/>
      <w:marBottom w:val="0"/>
      <w:divBdr>
        <w:top w:val="none" w:sz="0" w:space="0" w:color="auto"/>
        <w:left w:val="none" w:sz="0" w:space="0" w:color="auto"/>
        <w:bottom w:val="none" w:sz="0" w:space="0" w:color="auto"/>
        <w:right w:val="none" w:sz="0" w:space="0" w:color="auto"/>
      </w:divBdr>
    </w:div>
    <w:div w:id="264853371">
      <w:marLeft w:val="0"/>
      <w:marRight w:val="0"/>
      <w:marTop w:val="0"/>
      <w:marBottom w:val="0"/>
      <w:divBdr>
        <w:top w:val="none" w:sz="0" w:space="0" w:color="auto"/>
        <w:left w:val="none" w:sz="0" w:space="0" w:color="auto"/>
        <w:bottom w:val="none" w:sz="0" w:space="0" w:color="auto"/>
        <w:right w:val="none" w:sz="0" w:space="0" w:color="auto"/>
      </w:divBdr>
    </w:div>
    <w:div w:id="264853372">
      <w:marLeft w:val="0"/>
      <w:marRight w:val="0"/>
      <w:marTop w:val="0"/>
      <w:marBottom w:val="0"/>
      <w:divBdr>
        <w:top w:val="none" w:sz="0" w:space="0" w:color="auto"/>
        <w:left w:val="none" w:sz="0" w:space="0" w:color="auto"/>
        <w:bottom w:val="none" w:sz="0" w:space="0" w:color="auto"/>
        <w:right w:val="none" w:sz="0" w:space="0" w:color="auto"/>
      </w:divBdr>
    </w:div>
    <w:div w:id="264853373">
      <w:marLeft w:val="0"/>
      <w:marRight w:val="0"/>
      <w:marTop w:val="0"/>
      <w:marBottom w:val="0"/>
      <w:divBdr>
        <w:top w:val="none" w:sz="0" w:space="0" w:color="auto"/>
        <w:left w:val="none" w:sz="0" w:space="0" w:color="auto"/>
        <w:bottom w:val="none" w:sz="0" w:space="0" w:color="auto"/>
        <w:right w:val="none" w:sz="0" w:space="0" w:color="auto"/>
      </w:divBdr>
    </w:div>
    <w:div w:id="264853374">
      <w:marLeft w:val="0"/>
      <w:marRight w:val="0"/>
      <w:marTop w:val="0"/>
      <w:marBottom w:val="0"/>
      <w:divBdr>
        <w:top w:val="none" w:sz="0" w:space="0" w:color="auto"/>
        <w:left w:val="none" w:sz="0" w:space="0" w:color="auto"/>
        <w:bottom w:val="none" w:sz="0" w:space="0" w:color="auto"/>
        <w:right w:val="none" w:sz="0" w:space="0" w:color="auto"/>
      </w:divBdr>
    </w:div>
    <w:div w:id="264853375">
      <w:marLeft w:val="0"/>
      <w:marRight w:val="0"/>
      <w:marTop w:val="0"/>
      <w:marBottom w:val="0"/>
      <w:divBdr>
        <w:top w:val="none" w:sz="0" w:space="0" w:color="auto"/>
        <w:left w:val="none" w:sz="0" w:space="0" w:color="auto"/>
        <w:bottom w:val="none" w:sz="0" w:space="0" w:color="auto"/>
        <w:right w:val="none" w:sz="0" w:space="0" w:color="auto"/>
      </w:divBdr>
    </w:div>
    <w:div w:id="264853376">
      <w:marLeft w:val="0"/>
      <w:marRight w:val="0"/>
      <w:marTop w:val="0"/>
      <w:marBottom w:val="0"/>
      <w:divBdr>
        <w:top w:val="none" w:sz="0" w:space="0" w:color="auto"/>
        <w:left w:val="none" w:sz="0" w:space="0" w:color="auto"/>
        <w:bottom w:val="none" w:sz="0" w:space="0" w:color="auto"/>
        <w:right w:val="none" w:sz="0" w:space="0" w:color="auto"/>
      </w:divBdr>
    </w:div>
    <w:div w:id="264853377">
      <w:marLeft w:val="0"/>
      <w:marRight w:val="0"/>
      <w:marTop w:val="0"/>
      <w:marBottom w:val="0"/>
      <w:divBdr>
        <w:top w:val="none" w:sz="0" w:space="0" w:color="auto"/>
        <w:left w:val="none" w:sz="0" w:space="0" w:color="auto"/>
        <w:bottom w:val="none" w:sz="0" w:space="0" w:color="auto"/>
        <w:right w:val="none" w:sz="0" w:space="0" w:color="auto"/>
      </w:divBdr>
    </w:div>
    <w:div w:id="264853378">
      <w:marLeft w:val="0"/>
      <w:marRight w:val="0"/>
      <w:marTop w:val="0"/>
      <w:marBottom w:val="0"/>
      <w:divBdr>
        <w:top w:val="none" w:sz="0" w:space="0" w:color="auto"/>
        <w:left w:val="none" w:sz="0" w:space="0" w:color="auto"/>
        <w:bottom w:val="none" w:sz="0" w:space="0" w:color="auto"/>
        <w:right w:val="none" w:sz="0" w:space="0" w:color="auto"/>
      </w:divBdr>
    </w:div>
    <w:div w:id="264853379">
      <w:marLeft w:val="0"/>
      <w:marRight w:val="0"/>
      <w:marTop w:val="0"/>
      <w:marBottom w:val="0"/>
      <w:divBdr>
        <w:top w:val="none" w:sz="0" w:space="0" w:color="auto"/>
        <w:left w:val="none" w:sz="0" w:space="0" w:color="auto"/>
        <w:bottom w:val="none" w:sz="0" w:space="0" w:color="auto"/>
        <w:right w:val="none" w:sz="0" w:space="0" w:color="auto"/>
      </w:divBdr>
    </w:div>
    <w:div w:id="264853380">
      <w:marLeft w:val="0"/>
      <w:marRight w:val="0"/>
      <w:marTop w:val="0"/>
      <w:marBottom w:val="0"/>
      <w:divBdr>
        <w:top w:val="none" w:sz="0" w:space="0" w:color="auto"/>
        <w:left w:val="none" w:sz="0" w:space="0" w:color="auto"/>
        <w:bottom w:val="none" w:sz="0" w:space="0" w:color="auto"/>
        <w:right w:val="none" w:sz="0" w:space="0" w:color="auto"/>
      </w:divBdr>
    </w:div>
    <w:div w:id="264853381">
      <w:marLeft w:val="0"/>
      <w:marRight w:val="0"/>
      <w:marTop w:val="0"/>
      <w:marBottom w:val="0"/>
      <w:divBdr>
        <w:top w:val="none" w:sz="0" w:space="0" w:color="auto"/>
        <w:left w:val="none" w:sz="0" w:space="0" w:color="auto"/>
        <w:bottom w:val="none" w:sz="0" w:space="0" w:color="auto"/>
        <w:right w:val="none" w:sz="0" w:space="0" w:color="auto"/>
      </w:divBdr>
    </w:div>
    <w:div w:id="264853382">
      <w:marLeft w:val="0"/>
      <w:marRight w:val="0"/>
      <w:marTop w:val="0"/>
      <w:marBottom w:val="0"/>
      <w:divBdr>
        <w:top w:val="none" w:sz="0" w:space="0" w:color="auto"/>
        <w:left w:val="none" w:sz="0" w:space="0" w:color="auto"/>
        <w:bottom w:val="none" w:sz="0" w:space="0" w:color="auto"/>
        <w:right w:val="none" w:sz="0" w:space="0" w:color="auto"/>
      </w:divBdr>
    </w:div>
    <w:div w:id="264853383">
      <w:marLeft w:val="0"/>
      <w:marRight w:val="0"/>
      <w:marTop w:val="0"/>
      <w:marBottom w:val="0"/>
      <w:divBdr>
        <w:top w:val="none" w:sz="0" w:space="0" w:color="auto"/>
        <w:left w:val="none" w:sz="0" w:space="0" w:color="auto"/>
        <w:bottom w:val="none" w:sz="0" w:space="0" w:color="auto"/>
        <w:right w:val="none" w:sz="0" w:space="0" w:color="auto"/>
      </w:divBdr>
    </w:div>
    <w:div w:id="264853384">
      <w:marLeft w:val="0"/>
      <w:marRight w:val="0"/>
      <w:marTop w:val="0"/>
      <w:marBottom w:val="0"/>
      <w:divBdr>
        <w:top w:val="none" w:sz="0" w:space="0" w:color="auto"/>
        <w:left w:val="none" w:sz="0" w:space="0" w:color="auto"/>
        <w:bottom w:val="none" w:sz="0" w:space="0" w:color="auto"/>
        <w:right w:val="none" w:sz="0" w:space="0" w:color="auto"/>
      </w:divBdr>
    </w:div>
    <w:div w:id="264853385">
      <w:marLeft w:val="0"/>
      <w:marRight w:val="0"/>
      <w:marTop w:val="0"/>
      <w:marBottom w:val="0"/>
      <w:divBdr>
        <w:top w:val="none" w:sz="0" w:space="0" w:color="auto"/>
        <w:left w:val="none" w:sz="0" w:space="0" w:color="auto"/>
        <w:bottom w:val="none" w:sz="0" w:space="0" w:color="auto"/>
        <w:right w:val="none" w:sz="0" w:space="0" w:color="auto"/>
      </w:divBdr>
      <w:divsChild>
        <w:div w:id="264853407">
          <w:marLeft w:val="0"/>
          <w:marRight w:val="0"/>
          <w:marTop w:val="0"/>
          <w:marBottom w:val="0"/>
          <w:divBdr>
            <w:top w:val="none" w:sz="0" w:space="0" w:color="auto"/>
            <w:left w:val="none" w:sz="0" w:space="0" w:color="auto"/>
            <w:bottom w:val="none" w:sz="0" w:space="0" w:color="auto"/>
            <w:right w:val="none" w:sz="0" w:space="0" w:color="auto"/>
          </w:divBdr>
        </w:div>
      </w:divsChild>
    </w:div>
    <w:div w:id="264853386">
      <w:marLeft w:val="0"/>
      <w:marRight w:val="0"/>
      <w:marTop w:val="0"/>
      <w:marBottom w:val="0"/>
      <w:divBdr>
        <w:top w:val="none" w:sz="0" w:space="0" w:color="auto"/>
        <w:left w:val="none" w:sz="0" w:space="0" w:color="auto"/>
        <w:bottom w:val="none" w:sz="0" w:space="0" w:color="auto"/>
        <w:right w:val="none" w:sz="0" w:space="0" w:color="auto"/>
      </w:divBdr>
    </w:div>
    <w:div w:id="264853387">
      <w:marLeft w:val="0"/>
      <w:marRight w:val="0"/>
      <w:marTop w:val="0"/>
      <w:marBottom w:val="0"/>
      <w:divBdr>
        <w:top w:val="none" w:sz="0" w:space="0" w:color="auto"/>
        <w:left w:val="none" w:sz="0" w:space="0" w:color="auto"/>
        <w:bottom w:val="none" w:sz="0" w:space="0" w:color="auto"/>
        <w:right w:val="none" w:sz="0" w:space="0" w:color="auto"/>
      </w:divBdr>
    </w:div>
    <w:div w:id="264853388">
      <w:marLeft w:val="0"/>
      <w:marRight w:val="0"/>
      <w:marTop w:val="0"/>
      <w:marBottom w:val="0"/>
      <w:divBdr>
        <w:top w:val="none" w:sz="0" w:space="0" w:color="auto"/>
        <w:left w:val="none" w:sz="0" w:space="0" w:color="auto"/>
        <w:bottom w:val="none" w:sz="0" w:space="0" w:color="auto"/>
        <w:right w:val="none" w:sz="0" w:space="0" w:color="auto"/>
      </w:divBdr>
    </w:div>
    <w:div w:id="264853389">
      <w:marLeft w:val="0"/>
      <w:marRight w:val="0"/>
      <w:marTop w:val="0"/>
      <w:marBottom w:val="0"/>
      <w:divBdr>
        <w:top w:val="none" w:sz="0" w:space="0" w:color="auto"/>
        <w:left w:val="none" w:sz="0" w:space="0" w:color="auto"/>
        <w:bottom w:val="none" w:sz="0" w:space="0" w:color="auto"/>
        <w:right w:val="none" w:sz="0" w:space="0" w:color="auto"/>
      </w:divBdr>
    </w:div>
    <w:div w:id="264853390">
      <w:marLeft w:val="0"/>
      <w:marRight w:val="0"/>
      <w:marTop w:val="0"/>
      <w:marBottom w:val="0"/>
      <w:divBdr>
        <w:top w:val="none" w:sz="0" w:space="0" w:color="auto"/>
        <w:left w:val="none" w:sz="0" w:space="0" w:color="auto"/>
        <w:bottom w:val="none" w:sz="0" w:space="0" w:color="auto"/>
        <w:right w:val="none" w:sz="0" w:space="0" w:color="auto"/>
      </w:divBdr>
    </w:div>
    <w:div w:id="264853391">
      <w:marLeft w:val="0"/>
      <w:marRight w:val="0"/>
      <w:marTop w:val="0"/>
      <w:marBottom w:val="0"/>
      <w:divBdr>
        <w:top w:val="none" w:sz="0" w:space="0" w:color="auto"/>
        <w:left w:val="none" w:sz="0" w:space="0" w:color="auto"/>
        <w:bottom w:val="none" w:sz="0" w:space="0" w:color="auto"/>
        <w:right w:val="none" w:sz="0" w:space="0" w:color="auto"/>
      </w:divBdr>
    </w:div>
    <w:div w:id="264853392">
      <w:marLeft w:val="0"/>
      <w:marRight w:val="0"/>
      <w:marTop w:val="0"/>
      <w:marBottom w:val="0"/>
      <w:divBdr>
        <w:top w:val="none" w:sz="0" w:space="0" w:color="auto"/>
        <w:left w:val="none" w:sz="0" w:space="0" w:color="auto"/>
        <w:bottom w:val="none" w:sz="0" w:space="0" w:color="auto"/>
        <w:right w:val="none" w:sz="0" w:space="0" w:color="auto"/>
      </w:divBdr>
    </w:div>
    <w:div w:id="264853393">
      <w:marLeft w:val="0"/>
      <w:marRight w:val="0"/>
      <w:marTop w:val="0"/>
      <w:marBottom w:val="0"/>
      <w:divBdr>
        <w:top w:val="none" w:sz="0" w:space="0" w:color="auto"/>
        <w:left w:val="none" w:sz="0" w:space="0" w:color="auto"/>
        <w:bottom w:val="none" w:sz="0" w:space="0" w:color="auto"/>
        <w:right w:val="none" w:sz="0" w:space="0" w:color="auto"/>
      </w:divBdr>
    </w:div>
    <w:div w:id="264853394">
      <w:marLeft w:val="0"/>
      <w:marRight w:val="0"/>
      <w:marTop w:val="0"/>
      <w:marBottom w:val="0"/>
      <w:divBdr>
        <w:top w:val="none" w:sz="0" w:space="0" w:color="auto"/>
        <w:left w:val="none" w:sz="0" w:space="0" w:color="auto"/>
        <w:bottom w:val="none" w:sz="0" w:space="0" w:color="auto"/>
        <w:right w:val="none" w:sz="0" w:space="0" w:color="auto"/>
      </w:divBdr>
    </w:div>
    <w:div w:id="264853395">
      <w:marLeft w:val="0"/>
      <w:marRight w:val="0"/>
      <w:marTop w:val="0"/>
      <w:marBottom w:val="0"/>
      <w:divBdr>
        <w:top w:val="none" w:sz="0" w:space="0" w:color="auto"/>
        <w:left w:val="none" w:sz="0" w:space="0" w:color="auto"/>
        <w:bottom w:val="none" w:sz="0" w:space="0" w:color="auto"/>
        <w:right w:val="none" w:sz="0" w:space="0" w:color="auto"/>
      </w:divBdr>
    </w:div>
    <w:div w:id="264853396">
      <w:marLeft w:val="0"/>
      <w:marRight w:val="0"/>
      <w:marTop w:val="0"/>
      <w:marBottom w:val="0"/>
      <w:divBdr>
        <w:top w:val="none" w:sz="0" w:space="0" w:color="auto"/>
        <w:left w:val="none" w:sz="0" w:space="0" w:color="auto"/>
        <w:bottom w:val="none" w:sz="0" w:space="0" w:color="auto"/>
        <w:right w:val="none" w:sz="0" w:space="0" w:color="auto"/>
      </w:divBdr>
    </w:div>
    <w:div w:id="264853397">
      <w:marLeft w:val="0"/>
      <w:marRight w:val="0"/>
      <w:marTop w:val="0"/>
      <w:marBottom w:val="0"/>
      <w:divBdr>
        <w:top w:val="none" w:sz="0" w:space="0" w:color="auto"/>
        <w:left w:val="none" w:sz="0" w:space="0" w:color="auto"/>
        <w:bottom w:val="none" w:sz="0" w:space="0" w:color="auto"/>
        <w:right w:val="none" w:sz="0" w:space="0" w:color="auto"/>
      </w:divBdr>
    </w:div>
    <w:div w:id="264853398">
      <w:marLeft w:val="0"/>
      <w:marRight w:val="0"/>
      <w:marTop w:val="0"/>
      <w:marBottom w:val="0"/>
      <w:divBdr>
        <w:top w:val="none" w:sz="0" w:space="0" w:color="auto"/>
        <w:left w:val="none" w:sz="0" w:space="0" w:color="auto"/>
        <w:bottom w:val="none" w:sz="0" w:space="0" w:color="auto"/>
        <w:right w:val="none" w:sz="0" w:space="0" w:color="auto"/>
      </w:divBdr>
    </w:div>
    <w:div w:id="264853399">
      <w:marLeft w:val="0"/>
      <w:marRight w:val="0"/>
      <w:marTop w:val="0"/>
      <w:marBottom w:val="0"/>
      <w:divBdr>
        <w:top w:val="none" w:sz="0" w:space="0" w:color="auto"/>
        <w:left w:val="none" w:sz="0" w:space="0" w:color="auto"/>
        <w:bottom w:val="none" w:sz="0" w:space="0" w:color="auto"/>
        <w:right w:val="none" w:sz="0" w:space="0" w:color="auto"/>
      </w:divBdr>
    </w:div>
    <w:div w:id="264853400">
      <w:marLeft w:val="0"/>
      <w:marRight w:val="0"/>
      <w:marTop w:val="0"/>
      <w:marBottom w:val="0"/>
      <w:divBdr>
        <w:top w:val="none" w:sz="0" w:space="0" w:color="auto"/>
        <w:left w:val="none" w:sz="0" w:space="0" w:color="auto"/>
        <w:bottom w:val="none" w:sz="0" w:space="0" w:color="auto"/>
        <w:right w:val="none" w:sz="0" w:space="0" w:color="auto"/>
      </w:divBdr>
    </w:div>
    <w:div w:id="264853401">
      <w:marLeft w:val="0"/>
      <w:marRight w:val="0"/>
      <w:marTop w:val="0"/>
      <w:marBottom w:val="0"/>
      <w:divBdr>
        <w:top w:val="none" w:sz="0" w:space="0" w:color="auto"/>
        <w:left w:val="none" w:sz="0" w:space="0" w:color="auto"/>
        <w:bottom w:val="none" w:sz="0" w:space="0" w:color="auto"/>
        <w:right w:val="none" w:sz="0" w:space="0" w:color="auto"/>
      </w:divBdr>
    </w:div>
    <w:div w:id="264853402">
      <w:marLeft w:val="0"/>
      <w:marRight w:val="0"/>
      <w:marTop w:val="0"/>
      <w:marBottom w:val="0"/>
      <w:divBdr>
        <w:top w:val="none" w:sz="0" w:space="0" w:color="auto"/>
        <w:left w:val="none" w:sz="0" w:space="0" w:color="auto"/>
        <w:bottom w:val="none" w:sz="0" w:space="0" w:color="auto"/>
        <w:right w:val="none" w:sz="0" w:space="0" w:color="auto"/>
      </w:divBdr>
    </w:div>
    <w:div w:id="264853403">
      <w:marLeft w:val="0"/>
      <w:marRight w:val="0"/>
      <w:marTop w:val="0"/>
      <w:marBottom w:val="0"/>
      <w:divBdr>
        <w:top w:val="none" w:sz="0" w:space="0" w:color="auto"/>
        <w:left w:val="none" w:sz="0" w:space="0" w:color="auto"/>
        <w:bottom w:val="none" w:sz="0" w:space="0" w:color="auto"/>
        <w:right w:val="none" w:sz="0" w:space="0" w:color="auto"/>
      </w:divBdr>
    </w:div>
    <w:div w:id="264853404">
      <w:marLeft w:val="0"/>
      <w:marRight w:val="0"/>
      <w:marTop w:val="0"/>
      <w:marBottom w:val="0"/>
      <w:divBdr>
        <w:top w:val="none" w:sz="0" w:space="0" w:color="auto"/>
        <w:left w:val="none" w:sz="0" w:space="0" w:color="auto"/>
        <w:bottom w:val="none" w:sz="0" w:space="0" w:color="auto"/>
        <w:right w:val="none" w:sz="0" w:space="0" w:color="auto"/>
      </w:divBdr>
    </w:div>
    <w:div w:id="264853405">
      <w:marLeft w:val="0"/>
      <w:marRight w:val="0"/>
      <w:marTop w:val="0"/>
      <w:marBottom w:val="0"/>
      <w:divBdr>
        <w:top w:val="none" w:sz="0" w:space="0" w:color="auto"/>
        <w:left w:val="none" w:sz="0" w:space="0" w:color="auto"/>
        <w:bottom w:val="none" w:sz="0" w:space="0" w:color="auto"/>
        <w:right w:val="none" w:sz="0" w:space="0" w:color="auto"/>
      </w:divBdr>
    </w:div>
    <w:div w:id="264853406">
      <w:marLeft w:val="0"/>
      <w:marRight w:val="0"/>
      <w:marTop w:val="0"/>
      <w:marBottom w:val="0"/>
      <w:divBdr>
        <w:top w:val="none" w:sz="0" w:space="0" w:color="auto"/>
        <w:left w:val="none" w:sz="0" w:space="0" w:color="auto"/>
        <w:bottom w:val="none" w:sz="0" w:space="0" w:color="auto"/>
        <w:right w:val="none" w:sz="0" w:space="0" w:color="auto"/>
      </w:divBdr>
    </w:div>
    <w:div w:id="264853408">
      <w:marLeft w:val="0"/>
      <w:marRight w:val="0"/>
      <w:marTop w:val="0"/>
      <w:marBottom w:val="0"/>
      <w:divBdr>
        <w:top w:val="none" w:sz="0" w:space="0" w:color="auto"/>
        <w:left w:val="none" w:sz="0" w:space="0" w:color="auto"/>
        <w:bottom w:val="none" w:sz="0" w:space="0" w:color="auto"/>
        <w:right w:val="none" w:sz="0" w:space="0" w:color="auto"/>
      </w:divBdr>
    </w:div>
    <w:div w:id="264853409">
      <w:marLeft w:val="0"/>
      <w:marRight w:val="0"/>
      <w:marTop w:val="0"/>
      <w:marBottom w:val="0"/>
      <w:divBdr>
        <w:top w:val="none" w:sz="0" w:space="0" w:color="auto"/>
        <w:left w:val="none" w:sz="0" w:space="0" w:color="auto"/>
        <w:bottom w:val="none" w:sz="0" w:space="0" w:color="auto"/>
        <w:right w:val="none" w:sz="0" w:space="0" w:color="auto"/>
      </w:divBdr>
    </w:div>
    <w:div w:id="264853410">
      <w:marLeft w:val="0"/>
      <w:marRight w:val="0"/>
      <w:marTop w:val="0"/>
      <w:marBottom w:val="0"/>
      <w:divBdr>
        <w:top w:val="none" w:sz="0" w:space="0" w:color="auto"/>
        <w:left w:val="none" w:sz="0" w:space="0" w:color="auto"/>
        <w:bottom w:val="none" w:sz="0" w:space="0" w:color="auto"/>
        <w:right w:val="none" w:sz="0" w:space="0" w:color="auto"/>
      </w:divBdr>
    </w:div>
    <w:div w:id="264853411">
      <w:marLeft w:val="0"/>
      <w:marRight w:val="0"/>
      <w:marTop w:val="0"/>
      <w:marBottom w:val="0"/>
      <w:divBdr>
        <w:top w:val="none" w:sz="0" w:space="0" w:color="auto"/>
        <w:left w:val="none" w:sz="0" w:space="0" w:color="auto"/>
        <w:bottom w:val="none" w:sz="0" w:space="0" w:color="auto"/>
        <w:right w:val="none" w:sz="0" w:space="0" w:color="auto"/>
      </w:divBdr>
    </w:div>
    <w:div w:id="264853412">
      <w:marLeft w:val="0"/>
      <w:marRight w:val="0"/>
      <w:marTop w:val="0"/>
      <w:marBottom w:val="0"/>
      <w:divBdr>
        <w:top w:val="none" w:sz="0" w:space="0" w:color="auto"/>
        <w:left w:val="none" w:sz="0" w:space="0" w:color="auto"/>
        <w:bottom w:val="none" w:sz="0" w:space="0" w:color="auto"/>
        <w:right w:val="none" w:sz="0" w:space="0" w:color="auto"/>
      </w:divBdr>
    </w:div>
    <w:div w:id="264853413">
      <w:marLeft w:val="0"/>
      <w:marRight w:val="0"/>
      <w:marTop w:val="0"/>
      <w:marBottom w:val="0"/>
      <w:divBdr>
        <w:top w:val="none" w:sz="0" w:space="0" w:color="auto"/>
        <w:left w:val="none" w:sz="0" w:space="0" w:color="auto"/>
        <w:bottom w:val="none" w:sz="0" w:space="0" w:color="auto"/>
        <w:right w:val="none" w:sz="0" w:space="0" w:color="auto"/>
      </w:divBdr>
    </w:div>
    <w:div w:id="264853414">
      <w:marLeft w:val="0"/>
      <w:marRight w:val="0"/>
      <w:marTop w:val="0"/>
      <w:marBottom w:val="0"/>
      <w:divBdr>
        <w:top w:val="none" w:sz="0" w:space="0" w:color="auto"/>
        <w:left w:val="none" w:sz="0" w:space="0" w:color="auto"/>
        <w:bottom w:val="none" w:sz="0" w:space="0" w:color="auto"/>
        <w:right w:val="none" w:sz="0" w:space="0" w:color="auto"/>
      </w:divBdr>
    </w:div>
    <w:div w:id="264853415">
      <w:marLeft w:val="0"/>
      <w:marRight w:val="0"/>
      <w:marTop w:val="0"/>
      <w:marBottom w:val="0"/>
      <w:divBdr>
        <w:top w:val="none" w:sz="0" w:space="0" w:color="auto"/>
        <w:left w:val="none" w:sz="0" w:space="0" w:color="auto"/>
        <w:bottom w:val="none" w:sz="0" w:space="0" w:color="auto"/>
        <w:right w:val="none" w:sz="0" w:space="0" w:color="auto"/>
      </w:divBdr>
    </w:div>
    <w:div w:id="264853416">
      <w:marLeft w:val="0"/>
      <w:marRight w:val="0"/>
      <w:marTop w:val="0"/>
      <w:marBottom w:val="0"/>
      <w:divBdr>
        <w:top w:val="none" w:sz="0" w:space="0" w:color="auto"/>
        <w:left w:val="none" w:sz="0" w:space="0" w:color="auto"/>
        <w:bottom w:val="none" w:sz="0" w:space="0" w:color="auto"/>
        <w:right w:val="none" w:sz="0" w:space="0" w:color="auto"/>
      </w:divBdr>
    </w:div>
    <w:div w:id="264853417">
      <w:marLeft w:val="0"/>
      <w:marRight w:val="0"/>
      <w:marTop w:val="0"/>
      <w:marBottom w:val="0"/>
      <w:divBdr>
        <w:top w:val="none" w:sz="0" w:space="0" w:color="auto"/>
        <w:left w:val="none" w:sz="0" w:space="0" w:color="auto"/>
        <w:bottom w:val="none" w:sz="0" w:space="0" w:color="auto"/>
        <w:right w:val="none" w:sz="0" w:space="0" w:color="auto"/>
      </w:divBdr>
    </w:div>
    <w:div w:id="264853418">
      <w:marLeft w:val="0"/>
      <w:marRight w:val="0"/>
      <w:marTop w:val="0"/>
      <w:marBottom w:val="0"/>
      <w:divBdr>
        <w:top w:val="none" w:sz="0" w:space="0" w:color="auto"/>
        <w:left w:val="none" w:sz="0" w:space="0" w:color="auto"/>
        <w:bottom w:val="none" w:sz="0" w:space="0" w:color="auto"/>
        <w:right w:val="none" w:sz="0" w:space="0" w:color="auto"/>
      </w:divBdr>
    </w:div>
    <w:div w:id="264853419">
      <w:marLeft w:val="0"/>
      <w:marRight w:val="0"/>
      <w:marTop w:val="0"/>
      <w:marBottom w:val="0"/>
      <w:divBdr>
        <w:top w:val="none" w:sz="0" w:space="0" w:color="auto"/>
        <w:left w:val="none" w:sz="0" w:space="0" w:color="auto"/>
        <w:bottom w:val="none" w:sz="0" w:space="0" w:color="auto"/>
        <w:right w:val="none" w:sz="0" w:space="0" w:color="auto"/>
      </w:divBdr>
    </w:div>
    <w:div w:id="264853420">
      <w:marLeft w:val="0"/>
      <w:marRight w:val="0"/>
      <w:marTop w:val="0"/>
      <w:marBottom w:val="0"/>
      <w:divBdr>
        <w:top w:val="none" w:sz="0" w:space="0" w:color="auto"/>
        <w:left w:val="none" w:sz="0" w:space="0" w:color="auto"/>
        <w:bottom w:val="none" w:sz="0" w:space="0" w:color="auto"/>
        <w:right w:val="none" w:sz="0" w:space="0" w:color="auto"/>
      </w:divBdr>
    </w:div>
    <w:div w:id="264853421">
      <w:marLeft w:val="0"/>
      <w:marRight w:val="0"/>
      <w:marTop w:val="0"/>
      <w:marBottom w:val="0"/>
      <w:divBdr>
        <w:top w:val="none" w:sz="0" w:space="0" w:color="auto"/>
        <w:left w:val="none" w:sz="0" w:space="0" w:color="auto"/>
        <w:bottom w:val="none" w:sz="0" w:space="0" w:color="auto"/>
        <w:right w:val="none" w:sz="0" w:space="0" w:color="auto"/>
      </w:divBdr>
    </w:div>
    <w:div w:id="264853422">
      <w:marLeft w:val="0"/>
      <w:marRight w:val="0"/>
      <w:marTop w:val="0"/>
      <w:marBottom w:val="0"/>
      <w:divBdr>
        <w:top w:val="none" w:sz="0" w:space="0" w:color="auto"/>
        <w:left w:val="none" w:sz="0" w:space="0" w:color="auto"/>
        <w:bottom w:val="none" w:sz="0" w:space="0" w:color="auto"/>
        <w:right w:val="none" w:sz="0" w:space="0" w:color="auto"/>
      </w:divBdr>
    </w:div>
    <w:div w:id="264853423">
      <w:marLeft w:val="0"/>
      <w:marRight w:val="0"/>
      <w:marTop w:val="0"/>
      <w:marBottom w:val="0"/>
      <w:divBdr>
        <w:top w:val="none" w:sz="0" w:space="0" w:color="auto"/>
        <w:left w:val="none" w:sz="0" w:space="0" w:color="auto"/>
        <w:bottom w:val="none" w:sz="0" w:space="0" w:color="auto"/>
        <w:right w:val="none" w:sz="0" w:space="0" w:color="auto"/>
      </w:divBdr>
    </w:div>
    <w:div w:id="264853424">
      <w:marLeft w:val="0"/>
      <w:marRight w:val="0"/>
      <w:marTop w:val="0"/>
      <w:marBottom w:val="0"/>
      <w:divBdr>
        <w:top w:val="none" w:sz="0" w:space="0" w:color="auto"/>
        <w:left w:val="none" w:sz="0" w:space="0" w:color="auto"/>
        <w:bottom w:val="none" w:sz="0" w:space="0" w:color="auto"/>
        <w:right w:val="none" w:sz="0" w:space="0" w:color="auto"/>
      </w:divBdr>
    </w:div>
    <w:div w:id="264853425">
      <w:marLeft w:val="0"/>
      <w:marRight w:val="0"/>
      <w:marTop w:val="0"/>
      <w:marBottom w:val="0"/>
      <w:divBdr>
        <w:top w:val="none" w:sz="0" w:space="0" w:color="auto"/>
        <w:left w:val="none" w:sz="0" w:space="0" w:color="auto"/>
        <w:bottom w:val="none" w:sz="0" w:space="0" w:color="auto"/>
        <w:right w:val="none" w:sz="0" w:space="0" w:color="auto"/>
      </w:divBdr>
    </w:div>
    <w:div w:id="264853426">
      <w:marLeft w:val="0"/>
      <w:marRight w:val="0"/>
      <w:marTop w:val="0"/>
      <w:marBottom w:val="0"/>
      <w:divBdr>
        <w:top w:val="none" w:sz="0" w:space="0" w:color="auto"/>
        <w:left w:val="none" w:sz="0" w:space="0" w:color="auto"/>
        <w:bottom w:val="none" w:sz="0" w:space="0" w:color="auto"/>
        <w:right w:val="none" w:sz="0" w:space="0" w:color="auto"/>
      </w:divBdr>
    </w:div>
    <w:div w:id="264853427">
      <w:marLeft w:val="0"/>
      <w:marRight w:val="0"/>
      <w:marTop w:val="0"/>
      <w:marBottom w:val="0"/>
      <w:divBdr>
        <w:top w:val="none" w:sz="0" w:space="0" w:color="auto"/>
        <w:left w:val="none" w:sz="0" w:space="0" w:color="auto"/>
        <w:bottom w:val="none" w:sz="0" w:space="0" w:color="auto"/>
        <w:right w:val="none" w:sz="0" w:space="0" w:color="auto"/>
      </w:divBdr>
    </w:div>
    <w:div w:id="264853428">
      <w:marLeft w:val="0"/>
      <w:marRight w:val="0"/>
      <w:marTop w:val="0"/>
      <w:marBottom w:val="0"/>
      <w:divBdr>
        <w:top w:val="none" w:sz="0" w:space="0" w:color="auto"/>
        <w:left w:val="none" w:sz="0" w:space="0" w:color="auto"/>
        <w:bottom w:val="none" w:sz="0" w:space="0" w:color="auto"/>
        <w:right w:val="none" w:sz="0" w:space="0" w:color="auto"/>
      </w:divBdr>
    </w:div>
    <w:div w:id="264853429">
      <w:marLeft w:val="0"/>
      <w:marRight w:val="0"/>
      <w:marTop w:val="0"/>
      <w:marBottom w:val="0"/>
      <w:divBdr>
        <w:top w:val="none" w:sz="0" w:space="0" w:color="auto"/>
        <w:left w:val="none" w:sz="0" w:space="0" w:color="auto"/>
        <w:bottom w:val="none" w:sz="0" w:space="0" w:color="auto"/>
        <w:right w:val="none" w:sz="0" w:space="0" w:color="auto"/>
      </w:divBdr>
    </w:div>
    <w:div w:id="264853430">
      <w:marLeft w:val="0"/>
      <w:marRight w:val="0"/>
      <w:marTop w:val="0"/>
      <w:marBottom w:val="0"/>
      <w:divBdr>
        <w:top w:val="none" w:sz="0" w:space="0" w:color="auto"/>
        <w:left w:val="none" w:sz="0" w:space="0" w:color="auto"/>
        <w:bottom w:val="none" w:sz="0" w:space="0" w:color="auto"/>
        <w:right w:val="none" w:sz="0" w:space="0" w:color="auto"/>
      </w:divBdr>
    </w:div>
    <w:div w:id="264853431">
      <w:marLeft w:val="0"/>
      <w:marRight w:val="0"/>
      <w:marTop w:val="0"/>
      <w:marBottom w:val="0"/>
      <w:divBdr>
        <w:top w:val="none" w:sz="0" w:space="0" w:color="auto"/>
        <w:left w:val="none" w:sz="0" w:space="0" w:color="auto"/>
        <w:bottom w:val="none" w:sz="0" w:space="0" w:color="auto"/>
        <w:right w:val="none" w:sz="0" w:space="0" w:color="auto"/>
      </w:divBdr>
    </w:div>
    <w:div w:id="264853432">
      <w:marLeft w:val="0"/>
      <w:marRight w:val="0"/>
      <w:marTop w:val="0"/>
      <w:marBottom w:val="0"/>
      <w:divBdr>
        <w:top w:val="none" w:sz="0" w:space="0" w:color="auto"/>
        <w:left w:val="none" w:sz="0" w:space="0" w:color="auto"/>
        <w:bottom w:val="none" w:sz="0" w:space="0" w:color="auto"/>
        <w:right w:val="none" w:sz="0" w:space="0" w:color="auto"/>
      </w:divBdr>
    </w:div>
    <w:div w:id="264853433">
      <w:marLeft w:val="0"/>
      <w:marRight w:val="0"/>
      <w:marTop w:val="0"/>
      <w:marBottom w:val="0"/>
      <w:divBdr>
        <w:top w:val="none" w:sz="0" w:space="0" w:color="auto"/>
        <w:left w:val="none" w:sz="0" w:space="0" w:color="auto"/>
        <w:bottom w:val="none" w:sz="0" w:space="0" w:color="auto"/>
        <w:right w:val="none" w:sz="0" w:space="0" w:color="auto"/>
      </w:divBdr>
    </w:div>
    <w:div w:id="264853434">
      <w:marLeft w:val="0"/>
      <w:marRight w:val="0"/>
      <w:marTop w:val="0"/>
      <w:marBottom w:val="0"/>
      <w:divBdr>
        <w:top w:val="none" w:sz="0" w:space="0" w:color="auto"/>
        <w:left w:val="none" w:sz="0" w:space="0" w:color="auto"/>
        <w:bottom w:val="none" w:sz="0" w:space="0" w:color="auto"/>
        <w:right w:val="none" w:sz="0" w:space="0" w:color="auto"/>
      </w:divBdr>
    </w:div>
    <w:div w:id="264853435">
      <w:marLeft w:val="0"/>
      <w:marRight w:val="0"/>
      <w:marTop w:val="0"/>
      <w:marBottom w:val="0"/>
      <w:divBdr>
        <w:top w:val="none" w:sz="0" w:space="0" w:color="auto"/>
        <w:left w:val="none" w:sz="0" w:space="0" w:color="auto"/>
        <w:bottom w:val="none" w:sz="0" w:space="0" w:color="auto"/>
        <w:right w:val="none" w:sz="0" w:space="0" w:color="auto"/>
      </w:divBdr>
    </w:div>
    <w:div w:id="264853436">
      <w:marLeft w:val="0"/>
      <w:marRight w:val="0"/>
      <w:marTop w:val="0"/>
      <w:marBottom w:val="0"/>
      <w:divBdr>
        <w:top w:val="none" w:sz="0" w:space="0" w:color="auto"/>
        <w:left w:val="none" w:sz="0" w:space="0" w:color="auto"/>
        <w:bottom w:val="none" w:sz="0" w:space="0" w:color="auto"/>
        <w:right w:val="none" w:sz="0" w:space="0" w:color="auto"/>
      </w:divBdr>
    </w:div>
    <w:div w:id="264853437">
      <w:marLeft w:val="0"/>
      <w:marRight w:val="0"/>
      <w:marTop w:val="0"/>
      <w:marBottom w:val="0"/>
      <w:divBdr>
        <w:top w:val="none" w:sz="0" w:space="0" w:color="auto"/>
        <w:left w:val="none" w:sz="0" w:space="0" w:color="auto"/>
        <w:bottom w:val="none" w:sz="0" w:space="0" w:color="auto"/>
        <w:right w:val="none" w:sz="0" w:space="0" w:color="auto"/>
      </w:divBdr>
    </w:div>
    <w:div w:id="264853438">
      <w:marLeft w:val="0"/>
      <w:marRight w:val="0"/>
      <w:marTop w:val="0"/>
      <w:marBottom w:val="0"/>
      <w:divBdr>
        <w:top w:val="none" w:sz="0" w:space="0" w:color="auto"/>
        <w:left w:val="none" w:sz="0" w:space="0" w:color="auto"/>
        <w:bottom w:val="none" w:sz="0" w:space="0" w:color="auto"/>
        <w:right w:val="none" w:sz="0" w:space="0" w:color="auto"/>
      </w:divBdr>
    </w:div>
    <w:div w:id="264853439">
      <w:marLeft w:val="0"/>
      <w:marRight w:val="0"/>
      <w:marTop w:val="0"/>
      <w:marBottom w:val="0"/>
      <w:divBdr>
        <w:top w:val="none" w:sz="0" w:space="0" w:color="auto"/>
        <w:left w:val="none" w:sz="0" w:space="0" w:color="auto"/>
        <w:bottom w:val="none" w:sz="0" w:space="0" w:color="auto"/>
        <w:right w:val="none" w:sz="0" w:space="0" w:color="auto"/>
      </w:divBdr>
    </w:div>
    <w:div w:id="264853440">
      <w:marLeft w:val="0"/>
      <w:marRight w:val="0"/>
      <w:marTop w:val="0"/>
      <w:marBottom w:val="0"/>
      <w:divBdr>
        <w:top w:val="none" w:sz="0" w:space="0" w:color="auto"/>
        <w:left w:val="none" w:sz="0" w:space="0" w:color="auto"/>
        <w:bottom w:val="none" w:sz="0" w:space="0" w:color="auto"/>
        <w:right w:val="none" w:sz="0" w:space="0" w:color="auto"/>
      </w:divBdr>
    </w:div>
    <w:div w:id="264853441">
      <w:marLeft w:val="0"/>
      <w:marRight w:val="0"/>
      <w:marTop w:val="0"/>
      <w:marBottom w:val="0"/>
      <w:divBdr>
        <w:top w:val="none" w:sz="0" w:space="0" w:color="auto"/>
        <w:left w:val="none" w:sz="0" w:space="0" w:color="auto"/>
        <w:bottom w:val="none" w:sz="0" w:space="0" w:color="auto"/>
        <w:right w:val="none" w:sz="0" w:space="0" w:color="auto"/>
      </w:divBdr>
    </w:div>
    <w:div w:id="264853442">
      <w:marLeft w:val="0"/>
      <w:marRight w:val="0"/>
      <w:marTop w:val="0"/>
      <w:marBottom w:val="0"/>
      <w:divBdr>
        <w:top w:val="none" w:sz="0" w:space="0" w:color="auto"/>
        <w:left w:val="none" w:sz="0" w:space="0" w:color="auto"/>
        <w:bottom w:val="none" w:sz="0" w:space="0" w:color="auto"/>
        <w:right w:val="none" w:sz="0" w:space="0" w:color="auto"/>
      </w:divBdr>
    </w:div>
    <w:div w:id="264853443">
      <w:marLeft w:val="0"/>
      <w:marRight w:val="0"/>
      <w:marTop w:val="0"/>
      <w:marBottom w:val="0"/>
      <w:divBdr>
        <w:top w:val="none" w:sz="0" w:space="0" w:color="auto"/>
        <w:left w:val="none" w:sz="0" w:space="0" w:color="auto"/>
        <w:bottom w:val="none" w:sz="0" w:space="0" w:color="auto"/>
        <w:right w:val="none" w:sz="0" w:space="0" w:color="auto"/>
      </w:divBdr>
    </w:div>
    <w:div w:id="264853444">
      <w:marLeft w:val="0"/>
      <w:marRight w:val="0"/>
      <w:marTop w:val="0"/>
      <w:marBottom w:val="0"/>
      <w:divBdr>
        <w:top w:val="none" w:sz="0" w:space="0" w:color="auto"/>
        <w:left w:val="none" w:sz="0" w:space="0" w:color="auto"/>
        <w:bottom w:val="none" w:sz="0" w:space="0" w:color="auto"/>
        <w:right w:val="none" w:sz="0" w:space="0" w:color="auto"/>
      </w:divBdr>
    </w:div>
    <w:div w:id="264853446">
      <w:marLeft w:val="0"/>
      <w:marRight w:val="0"/>
      <w:marTop w:val="0"/>
      <w:marBottom w:val="0"/>
      <w:divBdr>
        <w:top w:val="none" w:sz="0" w:space="0" w:color="auto"/>
        <w:left w:val="none" w:sz="0" w:space="0" w:color="auto"/>
        <w:bottom w:val="none" w:sz="0" w:space="0" w:color="auto"/>
        <w:right w:val="none" w:sz="0" w:space="0" w:color="auto"/>
      </w:divBdr>
    </w:div>
    <w:div w:id="264853447">
      <w:marLeft w:val="0"/>
      <w:marRight w:val="0"/>
      <w:marTop w:val="0"/>
      <w:marBottom w:val="0"/>
      <w:divBdr>
        <w:top w:val="none" w:sz="0" w:space="0" w:color="auto"/>
        <w:left w:val="none" w:sz="0" w:space="0" w:color="auto"/>
        <w:bottom w:val="none" w:sz="0" w:space="0" w:color="auto"/>
        <w:right w:val="none" w:sz="0" w:space="0" w:color="auto"/>
      </w:divBdr>
    </w:div>
    <w:div w:id="264853448">
      <w:marLeft w:val="0"/>
      <w:marRight w:val="0"/>
      <w:marTop w:val="0"/>
      <w:marBottom w:val="0"/>
      <w:divBdr>
        <w:top w:val="none" w:sz="0" w:space="0" w:color="auto"/>
        <w:left w:val="none" w:sz="0" w:space="0" w:color="auto"/>
        <w:bottom w:val="none" w:sz="0" w:space="0" w:color="auto"/>
        <w:right w:val="none" w:sz="0" w:space="0" w:color="auto"/>
      </w:divBdr>
    </w:div>
    <w:div w:id="264853449">
      <w:marLeft w:val="0"/>
      <w:marRight w:val="0"/>
      <w:marTop w:val="0"/>
      <w:marBottom w:val="0"/>
      <w:divBdr>
        <w:top w:val="none" w:sz="0" w:space="0" w:color="auto"/>
        <w:left w:val="none" w:sz="0" w:space="0" w:color="auto"/>
        <w:bottom w:val="none" w:sz="0" w:space="0" w:color="auto"/>
        <w:right w:val="none" w:sz="0" w:space="0" w:color="auto"/>
      </w:divBdr>
    </w:div>
    <w:div w:id="264853450">
      <w:marLeft w:val="0"/>
      <w:marRight w:val="0"/>
      <w:marTop w:val="0"/>
      <w:marBottom w:val="0"/>
      <w:divBdr>
        <w:top w:val="none" w:sz="0" w:space="0" w:color="auto"/>
        <w:left w:val="none" w:sz="0" w:space="0" w:color="auto"/>
        <w:bottom w:val="none" w:sz="0" w:space="0" w:color="auto"/>
        <w:right w:val="none" w:sz="0" w:space="0" w:color="auto"/>
      </w:divBdr>
    </w:div>
    <w:div w:id="264853451">
      <w:marLeft w:val="0"/>
      <w:marRight w:val="0"/>
      <w:marTop w:val="0"/>
      <w:marBottom w:val="0"/>
      <w:divBdr>
        <w:top w:val="none" w:sz="0" w:space="0" w:color="auto"/>
        <w:left w:val="none" w:sz="0" w:space="0" w:color="auto"/>
        <w:bottom w:val="none" w:sz="0" w:space="0" w:color="auto"/>
        <w:right w:val="none" w:sz="0" w:space="0" w:color="auto"/>
      </w:divBdr>
      <w:divsChild>
        <w:div w:id="264853445">
          <w:marLeft w:val="0"/>
          <w:marRight w:val="0"/>
          <w:marTop w:val="0"/>
          <w:marBottom w:val="0"/>
          <w:divBdr>
            <w:top w:val="none" w:sz="0" w:space="0" w:color="auto"/>
            <w:left w:val="none" w:sz="0" w:space="0" w:color="auto"/>
            <w:bottom w:val="none" w:sz="0" w:space="0" w:color="auto"/>
            <w:right w:val="none" w:sz="0" w:space="0" w:color="auto"/>
          </w:divBdr>
        </w:div>
      </w:divsChild>
    </w:div>
    <w:div w:id="264853452">
      <w:marLeft w:val="0"/>
      <w:marRight w:val="0"/>
      <w:marTop w:val="0"/>
      <w:marBottom w:val="0"/>
      <w:divBdr>
        <w:top w:val="none" w:sz="0" w:space="0" w:color="auto"/>
        <w:left w:val="none" w:sz="0" w:space="0" w:color="auto"/>
        <w:bottom w:val="none" w:sz="0" w:space="0" w:color="auto"/>
        <w:right w:val="none" w:sz="0" w:space="0" w:color="auto"/>
      </w:divBdr>
    </w:div>
    <w:div w:id="264853453">
      <w:marLeft w:val="0"/>
      <w:marRight w:val="0"/>
      <w:marTop w:val="0"/>
      <w:marBottom w:val="0"/>
      <w:divBdr>
        <w:top w:val="none" w:sz="0" w:space="0" w:color="auto"/>
        <w:left w:val="none" w:sz="0" w:space="0" w:color="auto"/>
        <w:bottom w:val="none" w:sz="0" w:space="0" w:color="auto"/>
        <w:right w:val="none" w:sz="0" w:space="0" w:color="auto"/>
      </w:divBdr>
    </w:div>
    <w:div w:id="264853454">
      <w:marLeft w:val="0"/>
      <w:marRight w:val="0"/>
      <w:marTop w:val="0"/>
      <w:marBottom w:val="0"/>
      <w:divBdr>
        <w:top w:val="none" w:sz="0" w:space="0" w:color="auto"/>
        <w:left w:val="none" w:sz="0" w:space="0" w:color="auto"/>
        <w:bottom w:val="none" w:sz="0" w:space="0" w:color="auto"/>
        <w:right w:val="none" w:sz="0" w:space="0" w:color="auto"/>
      </w:divBdr>
    </w:div>
    <w:div w:id="264853455">
      <w:marLeft w:val="0"/>
      <w:marRight w:val="0"/>
      <w:marTop w:val="0"/>
      <w:marBottom w:val="0"/>
      <w:divBdr>
        <w:top w:val="none" w:sz="0" w:space="0" w:color="auto"/>
        <w:left w:val="none" w:sz="0" w:space="0" w:color="auto"/>
        <w:bottom w:val="none" w:sz="0" w:space="0" w:color="auto"/>
        <w:right w:val="none" w:sz="0" w:space="0" w:color="auto"/>
      </w:divBdr>
    </w:div>
    <w:div w:id="264853456">
      <w:marLeft w:val="0"/>
      <w:marRight w:val="0"/>
      <w:marTop w:val="0"/>
      <w:marBottom w:val="0"/>
      <w:divBdr>
        <w:top w:val="none" w:sz="0" w:space="0" w:color="auto"/>
        <w:left w:val="none" w:sz="0" w:space="0" w:color="auto"/>
        <w:bottom w:val="none" w:sz="0" w:space="0" w:color="auto"/>
        <w:right w:val="none" w:sz="0" w:space="0" w:color="auto"/>
      </w:divBdr>
    </w:div>
    <w:div w:id="264853457">
      <w:marLeft w:val="0"/>
      <w:marRight w:val="0"/>
      <w:marTop w:val="0"/>
      <w:marBottom w:val="0"/>
      <w:divBdr>
        <w:top w:val="none" w:sz="0" w:space="0" w:color="auto"/>
        <w:left w:val="none" w:sz="0" w:space="0" w:color="auto"/>
        <w:bottom w:val="none" w:sz="0" w:space="0" w:color="auto"/>
        <w:right w:val="none" w:sz="0" w:space="0" w:color="auto"/>
      </w:divBdr>
    </w:div>
    <w:div w:id="264853458">
      <w:marLeft w:val="0"/>
      <w:marRight w:val="0"/>
      <w:marTop w:val="0"/>
      <w:marBottom w:val="0"/>
      <w:divBdr>
        <w:top w:val="none" w:sz="0" w:space="0" w:color="auto"/>
        <w:left w:val="none" w:sz="0" w:space="0" w:color="auto"/>
        <w:bottom w:val="none" w:sz="0" w:space="0" w:color="auto"/>
        <w:right w:val="none" w:sz="0" w:space="0" w:color="auto"/>
      </w:divBdr>
    </w:div>
    <w:div w:id="264853459">
      <w:marLeft w:val="0"/>
      <w:marRight w:val="0"/>
      <w:marTop w:val="0"/>
      <w:marBottom w:val="0"/>
      <w:divBdr>
        <w:top w:val="none" w:sz="0" w:space="0" w:color="auto"/>
        <w:left w:val="none" w:sz="0" w:space="0" w:color="auto"/>
        <w:bottom w:val="none" w:sz="0" w:space="0" w:color="auto"/>
        <w:right w:val="none" w:sz="0" w:space="0" w:color="auto"/>
      </w:divBdr>
    </w:div>
    <w:div w:id="264853460">
      <w:marLeft w:val="0"/>
      <w:marRight w:val="0"/>
      <w:marTop w:val="0"/>
      <w:marBottom w:val="0"/>
      <w:divBdr>
        <w:top w:val="none" w:sz="0" w:space="0" w:color="auto"/>
        <w:left w:val="none" w:sz="0" w:space="0" w:color="auto"/>
        <w:bottom w:val="none" w:sz="0" w:space="0" w:color="auto"/>
        <w:right w:val="none" w:sz="0" w:space="0" w:color="auto"/>
      </w:divBdr>
    </w:div>
    <w:div w:id="264853461">
      <w:marLeft w:val="0"/>
      <w:marRight w:val="0"/>
      <w:marTop w:val="0"/>
      <w:marBottom w:val="0"/>
      <w:divBdr>
        <w:top w:val="none" w:sz="0" w:space="0" w:color="auto"/>
        <w:left w:val="none" w:sz="0" w:space="0" w:color="auto"/>
        <w:bottom w:val="none" w:sz="0" w:space="0" w:color="auto"/>
        <w:right w:val="none" w:sz="0" w:space="0" w:color="auto"/>
      </w:divBdr>
    </w:div>
    <w:div w:id="264853462">
      <w:marLeft w:val="0"/>
      <w:marRight w:val="0"/>
      <w:marTop w:val="0"/>
      <w:marBottom w:val="0"/>
      <w:divBdr>
        <w:top w:val="none" w:sz="0" w:space="0" w:color="auto"/>
        <w:left w:val="none" w:sz="0" w:space="0" w:color="auto"/>
        <w:bottom w:val="none" w:sz="0" w:space="0" w:color="auto"/>
        <w:right w:val="none" w:sz="0" w:space="0" w:color="auto"/>
      </w:divBdr>
    </w:div>
    <w:div w:id="264853463">
      <w:marLeft w:val="0"/>
      <w:marRight w:val="0"/>
      <w:marTop w:val="0"/>
      <w:marBottom w:val="0"/>
      <w:divBdr>
        <w:top w:val="none" w:sz="0" w:space="0" w:color="auto"/>
        <w:left w:val="none" w:sz="0" w:space="0" w:color="auto"/>
        <w:bottom w:val="none" w:sz="0" w:space="0" w:color="auto"/>
        <w:right w:val="none" w:sz="0" w:space="0" w:color="auto"/>
      </w:divBdr>
    </w:div>
    <w:div w:id="1172524740">
      <w:bodyDiv w:val="1"/>
      <w:marLeft w:val="0"/>
      <w:marRight w:val="0"/>
      <w:marTop w:val="0"/>
      <w:marBottom w:val="0"/>
      <w:divBdr>
        <w:top w:val="none" w:sz="0" w:space="0" w:color="auto"/>
        <w:left w:val="none" w:sz="0" w:space="0" w:color="auto"/>
        <w:bottom w:val="none" w:sz="0" w:space="0" w:color="auto"/>
        <w:right w:val="none" w:sz="0" w:space="0" w:color="auto"/>
      </w:divBdr>
    </w:div>
    <w:div w:id="1348750327">
      <w:bodyDiv w:val="1"/>
      <w:marLeft w:val="0"/>
      <w:marRight w:val="0"/>
      <w:marTop w:val="0"/>
      <w:marBottom w:val="0"/>
      <w:divBdr>
        <w:top w:val="none" w:sz="0" w:space="0" w:color="auto"/>
        <w:left w:val="none" w:sz="0" w:space="0" w:color="auto"/>
        <w:bottom w:val="none" w:sz="0" w:space="0" w:color="auto"/>
        <w:right w:val="none" w:sz="0" w:space="0" w:color="auto"/>
      </w:divBdr>
    </w:div>
    <w:div w:id="1385832037">
      <w:bodyDiv w:val="1"/>
      <w:marLeft w:val="0"/>
      <w:marRight w:val="0"/>
      <w:marTop w:val="0"/>
      <w:marBottom w:val="0"/>
      <w:divBdr>
        <w:top w:val="none" w:sz="0" w:space="0" w:color="auto"/>
        <w:left w:val="none" w:sz="0" w:space="0" w:color="auto"/>
        <w:bottom w:val="none" w:sz="0" w:space="0" w:color="auto"/>
        <w:right w:val="none" w:sz="0" w:space="0" w:color="auto"/>
      </w:divBdr>
    </w:div>
    <w:div w:id="1574315780">
      <w:bodyDiv w:val="1"/>
      <w:marLeft w:val="0"/>
      <w:marRight w:val="0"/>
      <w:marTop w:val="0"/>
      <w:marBottom w:val="0"/>
      <w:divBdr>
        <w:top w:val="none" w:sz="0" w:space="0" w:color="auto"/>
        <w:left w:val="none" w:sz="0" w:space="0" w:color="auto"/>
        <w:bottom w:val="none" w:sz="0" w:space="0" w:color="auto"/>
        <w:right w:val="none" w:sz="0" w:space="0" w:color="auto"/>
      </w:divBdr>
    </w:div>
    <w:div w:id="19858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so.com/241d/241dca223c760.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caiso.com/market/Pages/ReportsBulletins/Default.aspx" TargetMode="External"/><Relationship Id="rId1" Type="http://schemas.openxmlformats.org/officeDocument/2006/relationships/hyperlink" Target="http://www.cpuc.ca.gov/PUC/energy/Procurement/RA/ra_compliance_materials.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944275372519431"/>
          <c:y val="3.5330213794874957E-2"/>
          <c:w val="0.52154646133802451"/>
          <c:h val="0.66703877131612865"/>
        </c:manualLayout>
      </c:layout>
      <c:barChart>
        <c:barDir val="col"/>
        <c:grouping val="clustered"/>
        <c:varyColors val="0"/>
        <c:ser>
          <c:idx val="0"/>
          <c:order val="0"/>
          <c:tx>
            <c:strRef>
              <c:f>'Procurement charts'!$C$107</c:f>
              <c:strCache>
                <c:ptCount val="1"/>
                <c:pt idx="0">
                  <c:v>Load forecast</c:v>
                </c:pt>
              </c:strCache>
            </c:strRef>
          </c:tx>
          <c:invertIfNegative val="0"/>
          <c:cat>
            <c:strRef>
              <c:f>'\\Fortknox\Divisions\ENERGY DIVISION\Procurement Resource Adequacy\Resource Adequacy\RA report data\[tables for 2009 RA Report.xlsx]Charts for 2010 RA Report'!$B$107:$B$111</c:f>
              <c:strCache>
                <c:ptCount val="5"/>
                <c:pt idx="0">
                  <c:v>May</c:v>
                </c:pt>
                <c:pt idx="1">
                  <c:v>Jun</c:v>
                </c:pt>
                <c:pt idx="2">
                  <c:v>Jul</c:v>
                </c:pt>
                <c:pt idx="3">
                  <c:v>Aug</c:v>
                </c:pt>
                <c:pt idx="4">
                  <c:v>Sep</c:v>
                </c:pt>
              </c:strCache>
            </c:strRef>
          </c:cat>
          <c:val>
            <c:numRef>
              <c:f>'Procurement charts'!$C$108:$C$112</c:f>
              <c:numCache>
                <c:formatCode>#,##0</c:formatCode>
                <c:ptCount val="5"/>
                <c:pt idx="0">
                  <c:v>37434</c:v>
                </c:pt>
                <c:pt idx="1">
                  <c:v>42277</c:v>
                </c:pt>
                <c:pt idx="2">
                  <c:v>47207</c:v>
                </c:pt>
                <c:pt idx="3">
                  <c:v>48726</c:v>
                </c:pt>
                <c:pt idx="4">
                  <c:v>45118</c:v>
                </c:pt>
              </c:numCache>
            </c:numRef>
          </c:val>
        </c:ser>
        <c:ser>
          <c:idx val="1"/>
          <c:order val="1"/>
          <c:tx>
            <c:strRef>
              <c:f>'Procurement charts'!$D$107</c:f>
              <c:strCache>
                <c:ptCount val="1"/>
                <c:pt idx="0">
                  <c:v>Forward Commitment Obligation</c:v>
                </c:pt>
              </c:strCache>
            </c:strRef>
          </c:tx>
          <c:invertIfNegative val="0"/>
          <c:cat>
            <c:strRef>
              <c:f>'\\Fortknox\Divisions\ENERGY DIVISION\Procurement Resource Adequacy\Resource Adequacy\RA report data\[tables for 2009 RA Report.xlsx]Charts for 2010 RA Report'!$B$107:$B$111</c:f>
              <c:strCache>
                <c:ptCount val="5"/>
                <c:pt idx="0">
                  <c:v>May</c:v>
                </c:pt>
                <c:pt idx="1">
                  <c:v>Jun</c:v>
                </c:pt>
                <c:pt idx="2">
                  <c:v>Jul</c:v>
                </c:pt>
                <c:pt idx="3">
                  <c:v>Aug</c:v>
                </c:pt>
                <c:pt idx="4">
                  <c:v>Sep</c:v>
                </c:pt>
              </c:strCache>
            </c:strRef>
          </c:cat>
          <c:val>
            <c:numRef>
              <c:f>'Procurement charts'!$D$108:$D$112</c:f>
              <c:numCache>
                <c:formatCode>#,##0</c:formatCode>
                <c:ptCount val="5"/>
                <c:pt idx="0">
                  <c:v>43019</c:v>
                </c:pt>
                <c:pt idx="1">
                  <c:v>48601</c:v>
                </c:pt>
                <c:pt idx="2">
                  <c:v>54269</c:v>
                </c:pt>
                <c:pt idx="3">
                  <c:v>55965</c:v>
                </c:pt>
                <c:pt idx="4">
                  <c:v>51361</c:v>
                </c:pt>
              </c:numCache>
            </c:numRef>
          </c:val>
        </c:ser>
        <c:ser>
          <c:idx val="2"/>
          <c:order val="2"/>
          <c:tx>
            <c:strRef>
              <c:f>'Procurement charts'!$E$107</c:f>
              <c:strCache>
                <c:ptCount val="1"/>
                <c:pt idx="0">
                  <c:v>Total RA resources Committed</c:v>
                </c:pt>
              </c:strCache>
            </c:strRef>
          </c:tx>
          <c:invertIfNegative val="0"/>
          <c:cat>
            <c:strRef>
              <c:f>'\\Fortknox\Divisions\ENERGY DIVISION\Procurement Resource Adequacy\Resource Adequacy\RA report data\[tables for 2009 RA Report.xlsx]Charts for 2010 RA Report'!$B$107:$B$111</c:f>
              <c:strCache>
                <c:ptCount val="5"/>
                <c:pt idx="0">
                  <c:v>May</c:v>
                </c:pt>
                <c:pt idx="1">
                  <c:v>Jun</c:v>
                </c:pt>
                <c:pt idx="2">
                  <c:v>Jul</c:v>
                </c:pt>
                <c:pt idx="3">
                  <c:v>Aug</c:v>
                </c:pt>
                <c:pt idx="4">
                  <c:v>Sep</c:v>
                </c:pt>
              </c:strCache>
            </c:strRef>
          </c:cat>
          <c:val>
            <c:numRef>
              <c:f>'Procurement charts'!$E$108:$E$112</c:f>
              <c:numCache>
                <c:formatCode>#,##0</c:formatCode>
                <c:ptCount val="5"/>
                <c:pt idx="0">
                  <c:v>44251.981294652287</c:v>
                </c:pt>
                <c:pt idx="1">
                  <c:v>50254.4095525835</c:v>
                </c:pt>
                <c:pt idx="2">
                  <c:v>55436.712908405738</c:v>
                </c:pt>
                <c:pt idx="3">
                  <c:v>56714.100361718694</c:v>
                </c:pt>
                <c:pt idx="4">
                  <c:v>53078.896550416255</c:v>
                </c:pt>
              </c:numCache>
            </c:numRef>
          </c:val>
        </c:ser>
        <c:ser>
          <c:idx val="3"/>
          <c:order val="3"/>
          <c:tx>
            <c:strRef>
              <c:f>'Procurement charts'!$F$107</c:f>
              <c:strCache>
                <c:ptCount val="1"/>
                <c:pt idx="0">
                  <c:v>Actual Peak Load</c:v>
                </c:pt>
              </c:strCache>
            </c:strRef>
          </c:tx>
          <c:invertIfNegative val="0"/>
          <c:cat>
            <c:strRef>
              <c:f>'\\Fortknox\Divisions\ENERGY DIVISION\Procurement Resource Adequacy\Resource Adequacy\RA report data\[tables for 2009 RA Report.xlsx]Charts for 2010 RA Report'!$B$107:$B$111</c:f>
              <c:strCache>
                <c:ptCount val="5"/>
                <c:pt idx="0">
                  <c:v>May</c:v>
                </c:pt>
                <c:pt idx="1">
                  <c:v>Jun</c:v>
                </c:pt>
                <c:pt idx="2">
                  <c:v>Jul</c:v>
                </c:pt>
                <c:pt idx="3">
                  <c:v>Aug</c:v>
                </c:pt>
                <c:pt idx="4">
                  <c:v>Sep</c:v>
                </c:pt>
              </c:strCache>
            </c:strRef>
          </c:cat>
          <c:val>
            <c:numRef>
              <c:f>'Procurement charts'!$F$108:$F$112</c:f>
              <c:numCache>
                <c:formatCode>_(* #,##0_);_(* \(#,##0\);_(* "-"??_);_(@_)</c:formatCode>
                <c:ptCount val="5"/>
                <c:pt idx="0">
                  <c:v>33553</c:v>
                </c:pt>
                <c:pt idx="1">
                  <c:v>39728</c:v>
                </c:pt>
                <c:pt idx="2">
                  <c:v>43634</c:v>
                </c:pt>
                <c:pt idx="3">
                  <c:v>42806</c:v>
                </c:pt>
                <c:pt idx="4">
                  <c:v>45569</c:v>
                </c:pt>
              </c:numCache>
            </c:numRef>
          </c:val>
        </c:ser>
        <c:dLbls>
          <c:showLegendKey val="0"/>
          <c:showVal val="0"/>
          <c:showCatName val="0"/>
          <c:showSerName val="0"/>
          <c:showPercent val="0"/>
          <c:showBubbleSize val="0"/>
        </c:dLbls>
        <c:gapWidth val="150"/>
        <c:axId val="170211968"/>
        <c:axId val="41390464"/>
      </c:barChart>
      <c:catAx>
        <c:axId val="17021196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1390464"/>
        <c:crosses val="autoZero"/>
        <c:auto val="1"/>
        <c:lblAlgn val="ctr"/>
        <c:lblOffset val="100"/>
        <c:noMultiLvlLbl val="0"/>
      </c:catAx>
      <c:valAx>
        <c:axId val="41390464"/>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70211968"/>
        <c:crosses val="autoZero"/>
        <c:crossBetween val="between"/>
      </c:valAx>
      <c:dTable>
        <c:showHorzBorder val="1"/>
        <c:showVertBorder val="1"/>
        <c:showOutline val="1"/>
        <c:showKeys val="1"/>
        <c:txPr>
          <a:bodyPr/>
          <a:lstStyle/>
          <a:p>
            <a:pPr rtl="0">
              <a:defRPr sz="950" b="0" i="0" u="none" strike="noStrike" baseline="0">
                <a:solidFill>
                  <a:srgbClr val="000000"/>
                </a:solidFill>
                <a:latin typeface="Calibri"/>
                <a:ea typeface="Calibri"/>
                <a:cs typeface="Calibri"/>
              </a:defRPr>
            </a:pPr>
            <a:endParaRPr lang="en-US"/>
          </a:p>
        </c:txPr>
      </c:dTable>
    </c:plotArea>
    <c:legend>
      <c:legendPos val="r"/>
      <c:legendEntry>
        <c:idx val="0"/>
        <c:txPr>
          <a:bodyPr/>
          <a:lstStyle/>
          <a:p>
            <a:pPr>
              <a:defRPr sz="800" b="0" i="0" u="none" strike="noStrike" baseline="0">
                <a:solidFill>
                  <a:srgbClr val="000000"/>
                </a:solidFill>
                <a:latin typeface="Calibri"/>
                <a:ea typeface="Calibri"/>
                <a:cs typeface="Calibri"/>
              </a:defRPr>
            </a:pPr>
            <a:endParaRPr lang="en-US"/>
          </a:p>
        </c:txPr>
      </c:legendEntry>
      <c:legendEntry>
        <c:idx val="1"/>
        <c:txPr>
          <a:bodyPr/>
          <a:lstStyle/>
          <a:p>
            <a:pPr>
              <a:defRPr sz="800" b="0" i="0" u="none" strike="noStrike" baseline="0">
                <a:solidFill>
                  <a:srgbClr val="000000"/>
                </a:solidFill>
                <a:latin typeface="Calibri"/>
                <a:ea typeface="Calibri"/>
                <a:cs typeface="Calibri"/>
              </a:defRPr>
            </a:pPr>
            <a:endParaRPr lang="en-US"/>
          </a:p>
        </c:txPr>
      </c:legendEntry>
      <c:legendEntry>
        <c:idx val="2"/>
        <c:txPr>
          <a:bodyPr/>
          <a:lstStyle/>
          <a:p>
            <a:pPr>
              <a:defRPr sz="800" b="0" i="0" u="none" strike="noStrike" baseline="0">
                <a:solidFill>
                  <a:srgbClr val="000000"/>
                </a:solidFill>
                <a:latin typeface="Calibri"/>
                <a:ea typeface="Calibri"/>
                <a:cs typeface="Calibri"/>
              </a:defRPr>
            </a:pPr>
            <a:endParaRPr lang="en-US"/>
          </a:p>
        </c:txPr>
      </c:legendEntry>
      <c:legendEntry>
        <c:idx val="3"/>
        <c:txPr>
          <a:bodyPr/>
          <a:lstStyle/>
          <a:p>
            <a:pPr>
              <a:defRPr sz="800" b="0" i="0" u="none" strike="noStrike" baseline="0">
                <a:solidFill>
                  <a:srgbClr val="000000"/>
                </a:solidFill>
                <a:latin typeface="Calibri"/>
                <a:ea typeface="Calibri"/>
                <a:cs typeface="Calibri"/>
              </a:defRPr>
            </a:pPr>
            <a:endParaRPr lang="en-US"/>
          </a:p>
        </c:txPr>
      </c:legendEntry>
      <c:layout>
        <c:manualLayout>
          <c:xMode val="edge"/>
          <c:yMode val="edge"/>
          <c:x val="0.84372603730445805"/>
          <c:y val="0.18391050633233952"/>
          <c:w val="0.15420199532671583"/>
          <c:h val="0.55082638941976914"/>
        </c:manualLayout>
      </c:layout>
      <c:overlay val="0"/>
      <c:txPr>
        <a:bodyPr/>
        <a:lstStyle/>
        <a:p>
          <a:pPr>
            <a:defRPr sz="69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77A14-B402-4B40-A726-7FB4F918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10715</Words>
  <Characters>60901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2011-04-01T19:05:00Z</cp:lastPrinted>
  <dcterms:created xsi:type="dcterms:W3CDTF">2013-02-01T23:18:00Z</dcterms:created>
  <dcterms:modified xsi:type="dcterms:W3CDTF">2013-02-05T19:27:00Z</dcterms:modified>
</cp:coreProperties>
</file>