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69E2E" w14:textId="674208F5" w:rsidR="00EB6CA7" w:rsidRDefault="00EB6CA7" w:rsidP="006F7EEC">
      <w:pPr>
        <w:ind w:firstLine="0"/>
      </w:pPr>
    </w:p>
    <w:p w14:paraId="514720DF" w14:textId="07B068BA" w:rsidR="00247F2E" w:rsidRPr="00DE00A6" w:rsidRDefault="007350FA" w:rsidP="007C0FA4">
      <w:pPr>
        <w:jc w:val="center"/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</w:pPr>
      <w:r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ELECTRIC AND GAS </w:t>
      </w:r>
      <w:r w:rsidR="00247F2E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>RATE</w:t>
      </w:r>
      <w:r w:rsidR="007C0FA4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 INCREASE</w:t>
      </w:r>
      <w:r w:rsidR="00247F2E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 ALERT EFFECTIVE JANUARY 1, 2020</w:t>
      </w:r>
    </w:p>
    <w:p w14:paraId="30C4F470" w14:textId="77777777" w:rsidR="00247F2E" w:rsidRPr="0027768E" w:rsidRDefault="00247F2E">
      <w:pPr>
        <w:rPr>
          <w:sz w:val="36"/>
          <w:szCs w:val="36"/>
        </w:rPr>
      </w:pPr>
    </w:p>
    <w:p w14:paraId="331E2E4A" w14:textId="0B1E5721" w:rsidR="00A86289" w:rsidRPr="00DE00A6" w:rsidRDefault="00A86289" w:rsidP="00A86289">
      <w:pPr>
        <w:ind w:firstLine="0"/>
        <w:rPr>
          <w:rFonts w:ascii="Garamond" w:hAnsi="Garamond" w:cs="Calibri"/>
        </w:rPr>
      </w:pPr>
      <w:r w:rsidRPr="00DE00A6">
        <w:rPr>
          <w:rFonts w:ascii="Garamond" w:hAnsi="Garamond" w:cs="Calibri"/>
          <w:b/>
          <w:bCs/>
          <w:color w:val="7030A0"/>
        </w:rPr>
        <w:t xml:space="preserve">PG&amp;E - </w:t>
      </w:r>
      <w:r w:rsidRPr="00DE00A6">
        <w:rPr>
          <w:rFonts w:ascii="Garamond" w:hAnsi="Garamond" w:cs="Calibri"/>
        </w:rPr>
        <w:t>The CPUC approved gas transmission and storage revenue requirement changes for PG&amp;E fro</w:t>
      </w:r>
      <w:r w:rsidR="002D55E3">
        <w:rPr>
          <w:rFonts w:ascii="Garamond" w:hAnsi="Garamond" w:cs="Calibri"/>
        </w:rPr>
        <w:t>m 2019 to 2022</w:t>
      </w:r>
      <w:r w:rsidR="00704D6C" w:rsidRPr="00DE00A6">
        <w:rPr>
          <w:rFonts w:ascii="Garamond" w:hAnsi="Garamond" w:cs="Calibri"/>
        </w:rPr>
        <w:t xml:space="preserve"> in </w:t>
      </w:r>
      <w:r w:rsidR="007350FA" w:rsidRPr="00DE00A6">
        <w:rPr>
          <w:rFonts w:ascii="Garamond" w:hAnsi="Garamond" w:cs="Calibri"/>
        </w:rPr>
        <w:t>Gas Transmission and Storage (GT&amp;S) decision</w:t>
      </w:r>
      <w:r w:rsidR="002D55E3">
        <w:rPr>
          <w:rFonts w:ascii="Garamond" w:hAnsi="Garamond" w:cs="Calibri"/>
        </w:rPr>
        <w:t xml:space="preserve"> D.19-09-025, </w:t>
      </w:r>
      <w:r w:rsidRPr="00DE00A6">
        <w:rPr>
          <w:rFonts w:ascii="Garamond" w:hAnsi="Garamond" w:cs="Calibri"/>
        </w:rPr>
        <w:t xml:space="preserve">resulting in rate and bill impacts beginning on </w:t>
      </w:r>
      <w:r w:rsidR="00EC65F4" w:rsidRPr="00DE00A6">
        <w:rPr>
          <w:rFonts w:ascii="Garamond" w:hAnsi="Garamond" w:cs="Calibri"/>
        </w:rPr>
        <w:t>January 1, 2020</w:t>
      </w:r>
      <w:r w:rsidRPr="00DE00A6">
        <w:rPr>
          <w:rFonts w:ascii="Garamond" w:hAnsi="Garamond" w:cs="Calibri"/>
        </w:rPr>
        <w:t xml:space="preserve">. </w:t>
      </w:r>
      <w:r w:rsidR="004A7E44">
        <w:rPr>
          <w:rFonts w:ascii="Garamond" w:hAnsi="Garamond" w:cs="Calibri"/>
        </w:rPr>
        <w:t>Additionally, FERC approved dockets ER19-13-000 and ER20-100-000 to be implemented in rates on January 1, 2020. PG&amp;E’s consolidated rate change for 2020 is delayed until its 2020 sales forecast is approved in the 2020 ERRA Forecast proceeding, A.19-06-001.</w:t>
      </w:r>
    </w:p>
    <w:p w14:paraId="27E292F1" w14:textId="77777777" w:rsidR="00A86289" w:rsidRPr="00576CDA" w:rsidRDefault="00A86289" w:rsidP="00A86289">
      <w:pPr>
        <w:pBdr>
          <w:bottom w:val="dotted" w:sz="24" w:space="1" w:color="auto"/>
        </w:pBdr>
        <w:ind w:firstLine="0"/>
        <w:rPr>
          <w:rFonts w:ascii="Garamond" w:hAnsi="Garamond" w:cs="Calibri"/>
          <w:b/>
          <w:bCs/>
          <w:sz w:val="14"/>
          <w:szCs w:val="14"/>
        </w:rPr>
      </w:pPr>
    </w:p>
    <w:p w14:paraId="3A2BFB06" w14:textId="77777777" w:rsidR="00A86289" w:rsidRPr="00576CDA" w:rsidRDefault="00A86289" w:rsidP="00A86289">
      <w:pPr>
        <w:pStyle w:val="ListParagraph"/>
        <w:ind w:left="360" w:firstLine="0"/>
        <w:rPr>
          <w:rFonts w:ascii="Garamond" w:hAnsi="Garamond" w:cs="Calibri"/>
          <w:sz w:val="14"/>
          <w:szCs w:val="14"/>
          <w:u w:val="single"/>
        </w:rPr>
      </w:pPr>
    </w:p>
    <w:p w14:paraId="7BECD773" w14:textId="20DBB56C" w:rsidR="00EE1405" w:rsidRPr="00ED1B8A" w:rsidRDefault="00EE1405" w:rsidP="00ED1B8A">
      <w:pPr>
        <w:ind w:firstLine="0"/>
        <w:rPr>
          <w:rFonts w:ascii="Garamond" w:hAnsi="Garamond" w:cs="Calibri"/>
          <w:b/>
          <w:bCs/>
          <w:u w:val="single"/>
        </w:rPr>
      </w:pPr>
      <w:r w:rsidRPr="00EE1405">
        <w:rPr>
          <w:rFonts w:ascii="Garamond" w:hAnsi="Garamond" w:cs="Calibri"/>
          <w:b/>
          <w:bCs/>
          <w:u w:val="single"/>
        </w:rPr>
        <w:t xml:space="preserve">Combined </w:t>
      </w:r>
      <w:r w:rsidR="00CB4F96">
        <w:rPr>
          <w:rFonts w:ascii="Garamond" w:hAnsi="Garamond" w:cs="Calibri"/>
          <w:b/>
          <w:bCs/>
          <w:u w:val="single"/>
        </w:rPr>
        <w:t xml:space="preserve">Estimated </w:t>
      </w:r>
      <w:r w:rsidRPr="00EE1405">
        <w:rPr>
          <w:rFonts w:ascii="Garamond" w:hAnsi="Garamond" w:cs="Calibri"/>
          <w:b/>
          <w:bCs/>
          <w:u w:val="single"/>
        </w:rPr>
        <w:t xml:space="preserve">Electric </w:t>
      </w:r>
      <w:r w:rsidR="00ED1B8A">
        <w:rPr>
          <w:rFonts w:ascii="Garamond" w:hAnsi="Garamond" w:cs="Calibri"/>
          <w:b/>
          <w:bCs/>
          <w:u w:val="single"/>
        </w:rPr>
        <w:t>Bill</w:t>
      </w:r>
      <w:r w:rsidRPr="00EE1405">
        <w:rPr>
          <w:rFonts w:ascii="Garamond" w:hAnsi="Garamond" w:cs="Calibri"/>
          <w:b/>
          <w:bCs/>
          <w:u w:val="single"/>
        </w:rPr>
        <w:t xml:space="preserve"> Impacts of All Requested Rate Changes Effective January 1, 2020</w:t>
      </w:r>
      <w:r w:rsidRPr="00EE1405">
        <w:rPr>
          <w:rFonts w:ascii="Garamond" w:hAnsi="Garamond" w:cs="Calibri"/>
        </w:rPr>
        <w:t xml:space="preserve"> </w:t>
      </w:r>
      <w:r w:rsidRPr="00EE1405">
        <w:rPr>
          <w:rFonts w:ascii="Garamond" w:hAnsi="Garamond" w:cs="Calibri"/>
        </w:rPr>
        <w:br/>
      </w:r>
    </w:p>
    <w:tbl>
      <w:tblPr>
        <w:tblStyle w:val="GridTable5Dark-Accent2"/>
        <w:tblW w:w="10487" w:type="dxa"/>
        <w:jc w:val="center"/>
        <w:tblLook w:val="04A0" w:firstRow="1" w:lastRow="0" w:firstColumn="1" w:lastColumn="0" w:noHBand="0" w:noVBand="1"/>
      </w:tblPr>
      <w:tblGrid>
        <w:gridCol w:w="6543"/>
        <w:gridCol w:w="3944"/>
      </w:tblGrid>
      <w:tr w:rsidR="00EE1405" w:rsidRPr="0027768E" w14:paraId="6A393560" w14:textId="77777777" w:rsidTr="00EE1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4812527C" w14:textId="5350D723" w:rsidR="00EE1405" w:rsidRPr="00DE00A6" w:rsidRDefault="00EE1405" w:rsidP="00EE1405">
            <w:pPr>
              <w:ind w:firstLine="0"/>
              <w:jc w:val="center"/>
              <w:rPr>
                <w:rFonts w:ascii="Garamond" w:hAnsi="Garamond" w:cs="Calibri"/>
                <w:i/>
                <w:iCs/>
              </w:rPr>
            </w:pPr>
            <w:r w:rsidRPr="00DE00A6">
              <w:rPr>
                <w:rFonts w:ascii="Garamond" w:hAnsi="Garamond" w:cs="Calibri"/>
              </w:rPr>
              <w:t xml:space="preserve">Combined </w:t>
            </w:r>
            <w:r w:rsidR="00CB4F96">
              <w:rPr>
                <w:rFonts w:ascii="Garamond" w:hAnsi="Garamond" w:cs="Calibri"/>
              </w:rPr>
              <w:t xml:space="preserve">Estimated </w:t>
            </w:r>
            <w:r>
              <w:rPr>
                <w:rFonts w:ascii="Garamond" w:hAnsi="Garamond" w:cs="Calibri"/>
              </w:rPr>
              <w:t>Electric</w:t>
            </w:r>
            <w:r w:rsidRPr="00DE00A6">
              <w:rPr>
                <w:rFonts w:ascii="Garamond" w:hAnsi="Garamond" w:cs="Calibri"/>
              </w:rPr>
              <w:t xml:space="preserve"> Bill Impacts </w:t>
            </w:r>
          </w:p>
        </w:tc>
        <w:tc>
          <w:tcPr>
            <w:tcW w:w="3944" w:type="dxa"/>
          </w:tcPr>
          <w:p w14:paraId="01F334B2" w14:textId="77777777" w:rsidR="00EE1405" w:rsidRPr="00DE00A6" w:rsidRDefault="00EE1405" w:rsidP="00EE140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PG&amp;E – January 1, 2020</w:t>
            </w:r>
            <w:r w:rsidRPr="00DE00A6">
              <w:rPr>
                <w:rStyle w:val="FootnoteReference"/>
                <w:rFonts w:ascii="Garamond" w:hAnsi="Garamond" w:cs="Calibri"/>
              </w:rPr>
              <w:footnoteReference w:id="1"/>
            </w:r>
          </w:p>
        </w:tc>
      </w:tr>
      <w:tr w:rsidR="00EE1405" w:rsidRPr="0027768E" w14:paraId="79EC70A7" w14:textId="77777777" w:rsidTr="00EE1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2FC1A43B" w14:textId="77777777" w:rsidR="00EE1405" w:rsidRPr="00DE00A6" w:rsidRDefault="00EE1405" w:rsidP="00EE1405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 xml:space="preserve">Residential non-CARE </w:t>
            </w:r>
            <w:r>
              <w:rPr>
                <w:rFonts w:ascii="Garamond" w:hAnsi="Garamond" w:cs="Calibri"/>
                <w:b w:val="0"/>
                <w:bCs w:val="0"/>
              </w:rPr>
              <w:t>electric</w:t>
            </w:r>
            <w:r w:rsidRPr="00DE00A6">
              <w:rPr>
                <w:rFonts w:ascii="Garamond" w:hAnsi="Garamond" w:cs="Calibri"/>
                <w:b w:val="0"/>
                <w:bCs w:val="0"/>
              </w:rPr>
              <w:t xml:space="preserve"> bill</w:t>
            </w:r>
          </w:p>
        </w:tc>
        <w:tc>
          <w:tcPr>
            <w:tcW w:w="3944" w:type="dxa"/>
          </w:tcPr>
          <w:p w14:paraId="32C63BAF" w14:textId="77777777" w:rsidR="00EE1405" w:rsidRPr="00DE00A6" w:rsidRDefault="00EE1405" w:rsidP="00EE140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>
              <w:rPr>
                <w:rFonts w:ascii="Garamond" w:hAnsi="Garamond" w:cs="Calibri"/>
              </w:rPr>
              <w:t>128.63</w:t>
            </w:r>
          </w:p>
        </w:tc>
      </w:tr>
      <w:tr w:rsidR="00EE1405" w:rsidRPr="0027768E" w14:paraId="6569378F" w14:textId="77777777" w:rsidTr="00EE14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7EAAACD4" w14:textId="77777777" w:rsidR="00EE1405" w:rsidRPr="00DE00A6" w:rsidRDefault="00EE1405" w:rsidP="00EE1405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 xml:space="preserve">Residential non-CARE </w:t>
            </w:r>
            <w:r>
              <w:rPr>
                <w:rFonts w:ascii="Garamond" w:hAnsi="Garamond" w:cs="Calibri"/>
                <w:b w:val="0"/>
                <w:bCs w:val="0"/>
              </w:rPr>
              <w:t>electric</w:t>
            </w:r>
            <w:r w:rsidRPr="00DE00A6">
              <w:rPr>
                <w:rFonts w:ascii="Garamond" w:hAnsi="Garamond" w:cs="Calibri"/>
                <w:b w:val="0"/>
                <w:bCs w:val="0"/>
              </w:rPr>
              <w:t xml:space="preserve"> bill increase</w:t>
            </w:r>
          </w:p>
        </w:tc>
        <w:tc>
          <w:tcPr>
            <w:tcW w:w="3944" w:type="dxa"/>
          </w:tcPr>
          <w:p w14:paraId="74B52C16" w14:textId="77777777" w:rsidR="00EE1405" w:rsidRPr="00DE00A6" w:rsidRDefault="00EE1405" w:rsidP="00EE140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>
              <w:rPr>
                <w:rFonts w:ascii="Garamond" w:hAnsi="Garamond" w:cs="Calibri"/>
              </w:rPr>
              <w:t>3.28</w:t>
            </w:r>
            <w:r w:rsidRPr="00DE00A6">
              <w:rPr>
                <w:rFonts w:ascii="Garamond" w:hAnsi="Garamond" w:cs="Calibri"/>
              </w:rPr>
              <w:t xml:space="preserve"> or 2.</w:t>
            </w:r>
            <w:r>
              <w:rPr>
                <w:rFonts w:ascii="Garamond" w:hAnsi="Garamond" w:cs="Calibri"/>
              </w:rPr>
              <w:t>71</w:t>
            </w:r>
            <w:r w:rsidRPr="00DE00A6">
              <w:rPr>
                <w:rFonts w:ascii="Garamond" w:hAnsi="Garamond" w:cs="Calibri"/>
              </w:rPr>
              <w:t>%</w:t>
            </w:r>
          </w:p>
        </w:tc>
      </w:tr>
      <w:tr w:rsidR="00EE1405" w:rsidRPr="0027768E" w14:paraId="7CF19173" w14:textId="77777777" w:rsidTr="00EE1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108554A0" w14:textId="77777777" w:rsidR="00EE1405" w:rsidRPr="00DE00A6" w:rsidRDefault="00EE1405" w:rsidP="00EE1405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 xml:space="preserve">Residential CARE </w:t>
            </w:r>
            <w:r>
              <w:rPr>
                <w:rFonts w:ascii="Garamond" w:hAnsi="Garamond" w:cs="Calibri"/>
                <w:b w:val="0"/>
                <w:bCs w:val="0"/>
              </w:rPr>
              <w:t>electric</w:t>
            </w:r>
            <w:r w:rsidRPr="00DE00A6">
              <w:rPr>
                <w:rFonts w:ascii="Garamond" w:hAnsi="Garamond" w:cs="Calibri"/>
                <w:b w:val="0"/>
                <w:bCs w:val="0"/>
              </w:rPr>
              <w:t xml:space="preserve"> bill</w:t>
            </w:r>
          </w:p>
        </w:tc>
        <w:tc>
          <w:tcPr>
            <w:tcW w:w="3944" w:type="dxa"/>
          </w:tcPr>
          <w:p w14:paraId="660C3246" w14:textId="77777777" w:rsidR="00EE1405" w:rsidRPr="00DE00A6" w:rsidRDefault="00EE1405" w:rsidP="00EE140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>
              <w:rPr>
                <w:rFonts w:ascii="Garamond" w:hAnsi="Garamond" w:cs="Calibri"/>
              </w:rPr>
              <w:t>75.595</w:t>
            </w:r>
          </w:p>
        </w:tc>
      </w:tr>
      <w:tr w:rsidR="00EE1405" w:rsidRPr="0027768E" w14:paraId="042B157E" w14:textId="77777777" w:rsidTr="00EE14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5A65E9CD" w14:textId="77777777" w:rsidR="00EE1405" w:rsidRPr="00DE00A6" w:rsidRDefault="00EE1405" w:rsidP="00EE1405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 xml:space="preserve">Residential CARE </w:t>
            </w:r>
            <w:r>
              <w:rPr>
                <w:rFonts w:ascii="Garamond" w:hAnsi="Garamond" w:cs="Calibri"/>
                <w:b w:val="0"/>
                <w:bCs w:val="0"/>
              </w:rPr>
              <w:t>electric</w:t>
            </w:r>
            <w:r w:rsidRPr="00DE00A6">
              <w:rPr>
                <w:rFonts w:ascii="Garamond" w:hAnsi="Garamond" w:cs="Calibri"/>
                <w:b w:val="0"/>
                <w:bCs w:val="0"/>
              </w:rPr>
              <w:t xml:space="preserve"> bill increase</w:t>
            </w:r>
          </w:p>
        </w:tc>
        <w:tc>
          <w:tcPr>
            <w:tcW w:w="3944" w:type="dxa"/>
          </w:tcPr>
          <w:p w14:paraId="12C75596" w14:textId="77777777" w:rsidR="00EE1405" w:rsidRPr="00DE00A6" w:rsidRDefault="00EE1405" w:rsidP="00EE140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>
              <w:rPr>
                <w:rFonts w:ascii="Garamond" w:hAnsi="Garamond" w:cs="Calibri"/>
              </w:rPr>
              <w:t>2.10</w:t>
            </w:r>
          </w:p>
        </w:tc>
      </w:tr>
    </w:tbl>
    <w:p w14:paraId="4F2D26C5" w14:textId="77777777" w:rsidR="00EE1405" w:rsidRPr="00EE1405" w:rsidRDefault="00EE1405" w:rsidP="00EE1405">
      <w:pPr>
        <w:ind w:firstLine="0"/>
        <w:rPr>
          <w:rFonts w:ascii="Garamond" w:hAnsi="Garamond" w:cs="Calibri"/>
          <w:b/>
          <w:bCs/>
          <w:u w:val="single"/>
        </w:rPr>
      </w:pPr>
    </w:p>
    <w:p w14:paraId="1AD91279" w14:textId="43F4E5CD" w:rsidR="004A7E44" w:rsidRPr="00A42FDB" w:rsidRDefault="004A7E44" w:rsidP="00433148">
      <w:pPr>
        <w:ind w:firstLine="0"/>
        <w:rPr>
          <w:rFonts w:ascii="Garamond" w:hAnsi="Garamond" w:cs="Calibri"/>
          <w:b/>
          <w:bCs/>
        </w:rPr>
      </w:pPr>
      <w:r w:rsidRPr="00A42FDB">
        <w:rPr>
          <w:rFonts w:ascii="Garamond" w:hAnsi="Garamond" w:cs="Calibri"/>
          <w:b/>
          <w:bCs/>
        </w:rPr>
        <w:t xml:space="preserve">PG&amp;E </w:t>
      </w:r>
      <w:r w:rsidR="00EE1405" w:rsidRPr="00A42FDB">
        <w:rPr>
          <w:rFonts w:ascii="Garamond" w:hAnsi="Garamond" w:cs="Calibri"/>
          <w:b/>
          <w:bCs/>
        </w:rPr>
        <w:t xml:space="preserve">Advice Letter </w:t>
      </w:r>
      <w:r w:rsidRPr="00A42FDB">
        <w:rPr>
          <w:rFonts w:ascii="Garamond" w:hAnsi="Garamond" w:cs="Calibri"/>
          <w:b/>
          <w:bCs/>
        </w:rPr>
        <w:t>5727-E Highlights:</w:t>
      </w:r>
    </w:p>
    <w:p w14:paraId="5A57AC27" w14:textId="77777777" w:rsidR="00EE1405" w:rsidRPr="00EE1405" w:rsidRDefault="00EE1405" w:rsidP="00EE1405">
      <w:pPr>
        <w:ind w:left="720" w:firstLine="0"/>
        <w:rPr>
          <w:rFonts w:ascii="Garamond" w:hAnsi="Garamond" w:cs="Calibri"/>
          <w:b/>
          <w:bCs/>
          <w:u w:val="single"/>
        </w:rPr>
      </w:pPr>
    </w:p>
    <w:p w14:paraId="771C6CC5" w14:textId="77777777" w:rsidR="00EE1405" w:rsidRPr="00EE1405" w:rsidRDefault="004A7E44" w:rsidP="004A7E44">
      <w:pPr>
        <w:pStyle w:val="ListParagraph"/>
        <w:numPr>
          <w:ilvl w:val="1"/>
          <w:numId w:val="10"/>
        </w:numPr>
        <w:rPr>
          <w:rFonts w:ascii="Garamond" w:hAnsi="Garamond" w:cs="Calibri"/>
          <w:b/>
          <w:bCs/>
          <w:u w:val="single"/>
        </w:rPr>
      </w:pPr>
      <w:r>
        <w:rPr>
          <w:rFonts w:ascii="Garamond" w:hAnsi="Garamond" w:cs="Calibri"/>
        </w:rPr>
        <w:t xml:space="preserve">On January 1, 2020 PG&amp;E’s FERC Approved Transmission Revenue Requirement will increase </w:t>
      </w:r>
      <w:r w:rsidR="00197C00">
        <w:rPr>
          <w:rFonts w:ascii="Garamond" w:hAnsi="Garamond" w:cs="Calibri"/>
        </w:rPr>
        <w:t>from $1.963 billion in 2019 to $2.249 billion in 2020, an increase of 14.6%.</w:t>
      </w:r>
    </w:p>
    <w:p w14:paraId="1CE9D754" w14:textId="2520D1C6" w:rsidR="004A7E44" w:rsidRPr="00EE1405" w:rsidRDefault="00197C00" w:rsidP="00EE1405">
      <w:pPr>
        <w:pStyle w:val="ListParagraph"/>
        <w:ind w:left="1080" w:firstLine="0"/>
        <w:rPr>
          <w:rFonts w:ascii="Garamond" w:hAnsi="Garamond" w:cs="Calibri"/>
          <w:b/>
          <w:bCs/>
          <w:sz w:val="14"/>
          <w:szCs w:val="14"/>
          <w:u w:val="single"/>
        </w:rPr>
      </w:pPr>
      <w:r w:rsidRPr="00EE1405">
        <w:rPr>
          <w:rFonts w:ascii="Garamond" w:hAnsi="Garamond" w:cs="Calibri"/>
          <w:sz w:val="14"/>
          <w:szCs w:val="14"/>
        </w:rPr>
        <w:t xml:space="preserve"> </w:t>
      </w:r>
    </w:p>
    <w:p w14:paraId="40D1673B" w14:textId="352E8ABD" w:rsidR="00197C00" w:rsidRPr="00EE1405" w:rsidRDefault="00197C00" w:rsidP="004A7E44">
      <w:pPr>
        <w:pStyle w:val="ListParagraph"/>
        <w:numPr>
          <w:ilvl w:val="1"/>
          <w:numId w:val="10"/>
        </w:numPr>
        <w:rPr>
          <w:rFonts w:ascii="Garamond" w:hAnsi="Garamond" w:cs="Calibri"/>
          <w:b/>
          <w:bCs/>
          <w:u w:val="single"/>
        </w:rPr>
      </w:pPr>
      <w:r>
        <w:rPr>
          <w:rFonts w:ascii="Garamond" w:hAnsi="Garamond" w:cs="Calibri"/>
        </w:rPr>
        <w:t>PG&amp;E 5727-E implements the DWR Bond rate increase from $0.00503 to $0.00580 pursuant to D.19-12-007.</w:t>
      </w:r>
    </w:p>
    <w:p w14:paraId="558D4F66" w14:textId="77777777" w:rsidR="00EE1405" w:rsidRPr="00EE1405" w:rsidRDefault="00EE1405" w:rsidP="00EE1405">
      <w:pPr>
        <w:ind w:firstLine="0"/>
        <w:rPr>
          <w:rFonts w:ascii="Garamond" w:hAnsi="Garamond" w:cs="Calibri"/>
          <w:b/>
          <w:bCs/>
          <w:u w:val="single"/>
        </w:rPr>
      </w:pPr>
    </w:p>
    <w:p w14:paraId="0F360A41" w14:textId="4CAF1562" w:rsidR="00EE1405" w:rsidRPr="00EE1405" w:rsidRDefault="00EE1405" w:rsidP="00EE1405">
      <w:pPr>
        <w:ind w:firstLine="0"/>
        <w:rPr>
          <w:rFonts w:ascii="Garamond" w:hAnsi="Garamond" w:cs="Calibri"/>
          <w:u w:val="single"/>
        </w:rPr>
      </w:pPr>
      <w:r w:rsidRPr="00EE1405">
        <w:rPr>
          <w:rFonts w:ascii="Garamond" w:hAnsi="Garamond" w:cs="Calibri"/>
          <w:b/>
          <w:bCs/>
          <w:u w:val="single"/>
        </w:rPr>
        <w:t xml:space="preserve">Combined </w:t>
      </w:r>
      <w:r w:rsidR="00CB4F96">
        <w:rPr>
          <w:rFonts w:ascii="Garamond" w:hAnsi="Garamond" w:cs="Calibri"/>
          <w:b/>
          <w:bCs/>
          <w:u w:val="single"/>
        </w:rPr>
        <w:t xml:space="preserve">Estimated </w:t>
      </w:r>
      <w:r w:rsidR="002164F7">
        <w:rPr>
          <w:rFonts w:ascii="Garamond" w:hAnsi="Garamond" w:cs="Calibri"/>
          <w:b/>
          <w:bCs/>
          <w:u w:val="single"/>
        </w:rPr>
        <w:t>G</w:t>
      </w:r>
      <w:r w:rsidRPr="00EE1405">
        <w:rPr>
          <w:rFonts w:ascii="Garamond" w:hAnsi="Garamond" w:cs="Calibri"/>
          <w:b/>
          <w:bCs/>
          <w:u w:val="single"/>
        </w:rPr>
        <w:t xml:space="preserve">as </w:t>
      </w:r>
      <w:r w:rsidR="00ED1B8A">
        <w:rPr>
          <w:rFonts w:ascii="Garamond" w:hAnsi="Garamond" w:cs="Calibri"/>
          <w:b/>
          <w:bCs/>
          <w:u w:val="single"/>
        </w:rPr>
        <w:t>Bill</w:t>
      </w:r>
      <w:r w:rsidRPr="00EE1405">
        <w:rPr>
          <w:rFonts w:ascii="Garamond" w:hAnsi="Garamond" w:cs="Calibri"/>
          <w:b/>
          <w:bCs/>
          <w:u w:val="single"/>
        </w:rPr>
        <w:t xml:space="preserve"> </w:t>
      </w:r>
      <w:r w:rsidR="002164F7">
        <w:rPr>
          <w:rFonts w:ascii="Garamond" w:hAnsi="Garamond" w:cs="Calibri"/>
          <w:b/>
          <w:bCs/>
          <w:u w:val="single"/>
        </w:rPr>
        <w:t>I</w:t>
      </w:r>
      <w:r w:rsidRPr="00EE1405">
        <w:rPr>
          <w:rFonts w:ascii="Garamond" w:hAnsi="Garamond" w:cs="Calibri"/>
          <w:b/>
          <w:bCs/>
          <w:u w:val="single"/>
        </w:rPr>
        <w:t xml:space="preserve">mpacts </w:t>
      </w:r>
      <w:r w:rsidR="002164F7">
        <w:rPr>
          <w:rFonts w:ascii="Garamond" w:hAnsi="Garamond" w:cs="Calibri"/>
          <w:b/>
          <w:bCs/>
          <w:u w:val="single"/>
        </w:rPr>
        <w:t>of A</w:t>
      </w:r>
      <w:r w:rsidRPr="00EE1405">
        <w:rPr>
          <w:rFonts w:ascii="Garamond" w:hAnsi="Garamond" w:cs="Calibri"/>
          <w:b/>
          <w:bCs/>
          <w:u w:val="single"/>
        </w:rPr>
        <w:t xml:space="preserve">ll </w:t>
      </w:r>
      <w:r w:rsidR="002164F7">
        <w:rPr>
          <w:rFonts w:ascii="Garamond" w:hAnsi="Garamond" w:cs="Calibri"/>
          <w:b/>
          <w:bCs/>
          <w:u w:val="single"/>
        </w:rPr>
        <w:t>R</w:t>
      </w:r>
      <w:r w:rsidRPr="00EE1405">
        <w:rPr>
          <w:rFonts w:ascii="Garamond" w:hAnsi="Garamond" w:cs="Calibri"/>
          <w:b/>
          <w:bCs/>
          <w:u w:val="single"/>
        </w:rPr>
        <w:t xml:space="preserve">equested </w:t>
      </w:r>
      <w:r w:rsidR="002164F7">
        <w:rPr>
          <w:rFonts w:ascii="Garamond" w:hAnsi="Garamond" w:cs="Calibri"/>
          <w:b/>
          <w:bCs/>
          <w:u w:val="single"/>
        </w:rPr>
        <w:t>R</w:t>
      </w:r>
      <w:r w:rsidRPr="00EE1405">
        <w:rPr>
          <w:rFonts w:ascii="Garamond" w:hAnsi="Garamond" w:cs="Calibri"/>
          <w:b/>
          <w:bCs/>
          <w:u w:val="single"/>
        </w:rPr>
        <w:t xml:space="preserve">ate </w:t>
      </w:r>
      <w:r w:rsidR="002164F7">
        <w:rPr>
          <w:rFonts w:ascii="Garamond" w:hAnsi="Garamond" w:cs="Calibri"/>
          <w:b/>
          <w:bCs/>
          <w:u w:val="single"/>
        </w:rPr>
        <w:t>C</w:t>
      </w:r>
      <w:r w:rsidRPr="00EE1405">
        <w:rPr>
          <w:rFonts w:ascii="Garamond" w:hAnsi="Garamond" w:cs="Calibri"/>
          <w:b/>
          <w:bCs/>
          <w:u w:val="single"/>
        </w:rPr>
        <w:t xml:space="preserve">hanges </w:t>
      </w:r>
      <w:r w:rsidR="002164F7">
        <w:rPr>
          <w:rFonts w:ascii="Garamond" w:hAnsi="Garamond" w:cs="Calibri"/>
          <w:b/>
          <w:bCs/>
          <w:u w:val="single"/>
        </w:rPr>
        <w:t>E</w:t>
      </w:r>
      <w:r w:rsidRPr="00EE1405">
        <w:rPr>
          <w:rFonts w:ascii="Garamond" w:hAnsi="Garamond" w:cs="Calibri"/>
          <w:b/>
          <w:bCs/>
          <w:u w:val="single"/>
        </w:rPr>
        <w:t>ffective January 1, 2020:</w:t>
      </w:r>
      <w:r w:rsidRPr="00DE00A6">
        <w:rPr>
          <w:rStyle w:val="FootnoteReference"/>
          <w:rFonts w:ascii="Garamond" w:hAnsi="Garamond" w:cs="Calibri"/>
          <w:b/>
          <w:bCs/>
          <w:u w:val="single"/>
        </w:rPr>
        <w:footnoteReference w:id="2"/>
      </w:r>
    </w:p>
    <w:p w14:paraId="15CAAB5B" w14:textId="77777777" w:rsidR="00EE1405" w:rsidRPr="002164F7" w:rsidRDefault="00EE1405" w:rsidP="00EE1405">
      <w:pPr>
        <w:pStyle w:val="ListParagraph"/>
        <w:ind w:left="0" w:firstLine="0"/>
        <w:rPr>
          <w:rFonts w:ascii="Garamond" w:hAnsi="Garamond" w:cs="Calibri"/>
        </w:rPr>
      </w:pPr>
    </w:p>
    <w:tbl>
      <w:tblPr>
        <w:tblStyle w:val="GridTable5Dark-Accent2"/>
        <w:tblW w:w="10487" w:type="dxa"/>
        <w:jc w:val="center"/>
        <w:tblLook w:val="04A0" w:firstRow="1" w:lastRow="0" w:firstColumn="1" w:lastColumn="0" w:noHBand="0" w:noVBand="1"/>
      </w:tblPr>
      <w:tblGrid>
        <w:gridCol w:w="6543"/>
        <w:gridCol w:w="3944"/>
      </w:tblGrid>
      <w:tr w:rsidR="00EE1405" w:rsidRPr="0027768E" w14:paraId="70766580" w14:textId="77777777" w:rsidTr="00EE1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1B1C7370" w14:textId="7683EE07" w:rsidR="00EE1405" w:rsidRPr="00DE00A6" w:rsidRDefault="00EE1405" w:rsidP="00EE1405">
            <w:pPr>
              <w:ind w:firstLine="0"/>
              <w:jc w:val="center"/>
              <w:rPr>
                <w:rFonts w:ascii="Garamond" w:hAnsi="Garamond" w:cs="Calibri"/>
                <w:i/>
                <w:iCs/>
              </w:rPr>
            </w:pPr>
            <w:r w:rsidRPr="00DE00A6">
              <w:rPr>
                <w:rFonts w:ascii="Garamond" w:hAnsi="Garamond" w:cs="Calibri"/>
              </w:rPr>
              <w:t xml:space="preserve">Combined </w:t>
            </w:r>
            <w:r w:rsidR="00CB4F96">
              <w:rPr>
                <w:rFonts w:ascii="Garamond" w:hAnsi="Garamond" w:cs="Calibri"/>
              </w:rPr>
              <w:t xml:space="preserve">Estimated </w:t>
            </w:r>
            <w:r w:rsidRPr="00DE00A6">
              <w:rPr>
                <w:rFonts w:ascii="Garamond" w:hAnsi="Garamond" w:cs="Calibri"/>
              </w:rPr>
              <w:t xml:space="preserve">Gas Bill Impacts </w:t>
            </w:r>
          </w:p>
        </w:tc>
        <w:tc>
          <w:tcPr>
            <w:tcW w:w="3944" w:type="dxa"/>
          </w:tcPr>
          <w:p w14:paraId="2D855E10" w14:textId="77777777" w:rsidR="00EE1405" w:rsidRPr="00DE00A6" w:rsidRDefault="00EE1405" w:rsidP="00EE140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PG&amp;E – January 1, 2020</w:t>
            </w:r>
            <w:r w:rsidRPr="00DE00A6">
              <w:rPr>
                <w:rStyle w:val="FootnoteReference"/>
                <w:rFonts w:ascii="Garamond" w:hAnsi="Garamond" w:cs="Calibri"/>
              </w:rPr>
              <w:footnoteReference w:id="3"/>
            </w:r>
          </w:p>
        </w:tc>
      </w:tr>
      <w:tr w:rsidR="00EE1405" w:rsidRPr="0027768E" w14:paraId="1DF40F75" w14:textId="77777777" w:rsidTr="00EE1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0920C99A" w14:textId="77777777" w:rsidR="00EE1405" w:rsidRPr="00DE00A6" w:rsidRDefault="00EE1405" w:rsidP="00EE1405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Residential non-CARE gas bill</w:t>
            </w:r>
          </w:p>
        </w:tc>
        <w:tc>
          <w:tcPr>
            <w:tcW w:w="3944" w:type="dxa"/>
          </w:tcPr>
          <w:p w14:paraId="49E2D437" w14:textId="77777777" w:rsidR="00EE1405" w:rsidRPr="00DE00A6" w:rsidRDefault="00EE1405" w:rsidP="00EE140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$47.74</w:t>
            </w:r>
          </w:p>
        </w:tc>
      </w:tr>
      <w:tr w:rsidR="00EE1405" w:rsidRPr="0027768E" w14:paraId="4794253F" w14:textId="77777777" w:rsidTr="00EE14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3701CE4D" w14:textId="77777777" w:rsidR="00EE1405" w:rsidRPr="00DE00A6" w:rsidRDefault="00EE1405" w:rsidP="00EE1405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Residential non-CARE gas bill increase</w:t>
            </w:r>
          </w:p>
        </w:tc>
        <w:tc>
          <w:tcPr>
            <w:tcW w:w="3944" w:type="dxa"/>
          </w:tcPr>
          <w:p w14:paraId="5B542ECC" w14:textId="77777777" w:rsidR="00EE1405" w:rsidRPr="00DE00A6" w:rsidRDefault="00EE1405" w:rsidP="00EE140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$1.03 or 2.2%</w:t>
            </w:r>
          </w:p>
        </w:tc>
      </w:tr>
      <w:tr w:rsidR="00EE1405" w:rsidRPr="0027768E" w14:paraId="66FE8644" w14:textId="77777777" w:rsidTr="00EE1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1965B343" w14:textId="77777777" w:rsidR="00EE1405" w:rsidRPr="00DE00A6" w:rsidRDefault="00EE1405" w:rsidP="00EE1405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Residential CARE gas bill</w:t>
            </w:r>
          </w:p>
        </w:tc>
        <w:tc>
          <w:tcPr>
            <w:tcW w:w="3944" w:type="dxa"/>
          </w:tcPr>
          <w:p w14:paraId="6D9ACEDB" w14:textId="77777777" w:rsidR="00EE1405" w:rsidRPr="00DE00A6" w:rsidRDefault="00EE1405" w:rsidP="00EE1405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$37.53</w:t>
            </w:r>
          </w:p>
        </w:tc>
      </w:tr>
      <w:tr w:rsidR="00EE1405" w:rsidRPr="0027768E" w14:paraId="73AFCFC5" w14:textId="77777777" w:rsidTr="00EE140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4D71CF52" w14:textId="77777777" w:rsidR="00EE1405" w:rsidRPr="00DE00A6" w:rsidRDefault="00EE1405" w:rsidP="00EE1405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Residential CARE gas bill increase</w:t>
            </w:r>
          </w:p>
        </w:tc>
        <w:tc>
          <w:tcPr>
            <w:tcW w:w="3944" w:type="dxa"/>
          </w:tcPr>
          <w:p w14:paraId="222B56DB" w14:textId="77777777" w:rsidR="00EE1405" w:rsidRPr="00DE00A6" w:rsidRDefault="00EE1405" w:rsidP="00EE140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$0.45 or 1.2%</w:t>
            </w:r>
          </w:p>
        </w:tc>
      </w:tr>
    </w:tbl>
    <w:p w14:paraId="3AC2ABF5" w14:textId="77777777" w:rsidR="00EE1405" w:rsidRPr="000D17D3" w:rsidRDefault="00EE1405" w:rsidP="00EE1405">
      <w:pPr>
        <w:pStyle w:val="ListParagraph"/>
        <w:ind w:left="0" w:firstLine="0"/>
        <w:rPr>
          <w:rFonts w:ascii="Garamond" w:hAnsi="Garamond" w:cs="Calibri"/>
          <w:sz w:val="14"/>
          <w:szCs w:val="14"/>
        </w:rPr>
      </w:pPr>
    </w:p>
    <w:p w14:paraId="035267DF" w14:textId="2F4C4AA1" w:rsidR="002164F7" w:rsidRDefault="002164F7" w:rsidP="002164F7">
      <w:pPr>
        <w:ind w:firstLine="0"/>
        <w:rPr>
          <w:rFonts w:ascii="Garamond" w:hAnsi="Garamond" w:cs="Calibri"/>
        </w:rPr>
      </w:pPr>
      <w:r>
        <w:rPr>
          <w:rFonts w:ascii="Garamond" w:hAnsi="Garamond" w:cs="Calibri"/>
        </w:rPr>
        <w:t>Below are the gas rate change components and highlights:</w:t>
      </w:r>
    </w:p>
    <w:p w14:paraId="292921FB" w14:textId="77777777" w:rsidR="00EE1405" w:rsidRPr="00EE1405" w:rsidRDefault="00EE1405" w:rsidP="00EE1405">
      <w:pPr>
        <w:ind w:firstLine="0"/>
        <w:rPr>
          <w:rFonts w:ascii="Garamond" w:hAnsi="Garamond" w:cs="Calibri"/>
          <w:b/>
          <w:bCs/>
          <w:u w:val="single"/>
        </w:rPr>
      </w:pPr>
    </w:p>
    <w:p w14:paraId="4449D5FE" w14:textId="09683964" w:rsidR="00A86289" w:rsidRPr="00A42FDB" w:rsidRDefault="00AA1472" w:rsidP="002164F7">
      <w:pPr>
        <w:pStyle w:val="ListParagraph"/>
        <w:numPr>
          <w:ilvl w:val="0"/>
          <w:numId w:val="17"/>
        </w:numPr>
        <w:rPr>
          <w:rFonts w:ascii="Garamond" w:hAnsi="Garamond" w:cs="Calibri"/>
        </w:rPr>
      </w:pPr>
      <w:r w:rsidRPr="00A42FDB">
        <w:rPr>
          <w:rFonts w:ascii="Garamond" w:hAnsi="Garamond" w:cs="Calibri"/>
          <w:b/>
          <w:bCs/>
        </w:rPr>
        <w:lastRenderedPageBreak/>
        <w:t xml:space="preserve">PG&amp;E GT&amp;S </w:t>
      </w:r>
      <w:r w:rsidR="00A86289" w:rsidRPr="00A42FDB">
        <w:rPr>
          <w:rFonts w:ascii="Garamond" w:hAnsi="Garamond" w:cs="Calibri"/>
          <w:b/>
          <w:bCs/>
        </w:rPr>
        <w:t>Highlights</w:t>
      </w:r>
      <w:r w:rsidR="00A86289" w:rsidRPr="00A42FDB">
        <w:rPr>
          <w:rFonts w:ascii="Garamond" w:hAnsi="Garamond" w:cs="Calibri"/>
        </w:rPr>
        <w:t>:</w:t>
      </w:r>
    </w:p>
    <w:p w14:paraId="51B50947" w14:textId="6F8E5CB5" w:rsidR="00B77B78" w:rsidRPr="002D55E3" w:rsidRDefault="00B77B78" w:rsidP="00B77B78">
      <w:pPr>
        <w:ind w:firstLine="0"/>
        <w:rPr>
          <w:rFonts w:ascii="Garamond" w:hAnsi="Garamond" w:cs="Calibri"/>
          <w:sz w:val="16"/>
          <w:szCs w:val="16"/>
          <w:u w:val="single"/>
        </w:rPr>
      </w:pPr>
    </w:p>
    <w:p w14:paraId="52E16650" w14:textId="77777777" w:rsidR="00B77B78" w:rsidRPr="00DE00A6" w:rsidRDefault="00B77B78" w:rsidP="00B77B78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 w:rsidRPr="00DE00A6">
        <w:rPr>
          <w:rFonts w:ascii="Garamond" w:hAnsi="Garamond" w:cs="Calibri"/>
        </w:rPr>
        <w:t xml:space="preserve">On January 1, 2020, PG&amp;E’s GT&amp;S revenue requirement will increase $99.6 million due to higher spending to maintain the safe operation of its gas system. </w:t>
      </w:r>
    </w:p>
    <w:p w14:paraId="2C1EDB03" w14:textId="77777777" w:rsidR="00B77B78" w:rsidRPr="004430A4" w:rsidRDefault="00B77B78" w:rsidP="00B77B78">
      <w:pPr>
        <w:pStyle w:val="ListParagraph"/>
        <w:ind w:left="1080" w:firstLine="0"/>
        <w:rPr>
          <w:rFonts w:ascii="Garamond" w:hAnsi="Garamond" w:cs="Calibri"/>
          <w:sz w:val="14"/>
          <w:szCs w:val="14"/>
        </w:rPr>
      </w:pPr>
    </w:p>
    <w:p w14:paraId="36C4D4A9" w14:textId="77777777" w:rsidR="00B77B78" w:rsidRPr="00DE00A6" w:rsidRDefault="00B77B78" w:rsidP="00B77B78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 w:rsidRPr="00DE00A6">
        <w:rPr>
          <w:rFonts w:ascii="Garamond" w:hAnsi="Garamond" w:cs="Calibri"/>
        </w:rPr>
        <w:t xml:space="preserve">Disallowed $104 million in proposed expenses and $87 million in capital expenditures as being unreasonable with most of the amount for transmission pipeline projects.  </w:t>
      </w:r>
    </w:p>
    <w:p w14:paraId="381F37AE" w14:textId="77777777" w:rsidR="00B77B78" w:rsidRPr="004430A4" w:rsidRDefault="00B77B78" w:rsidP="00B77B78">
      <w:pPr>
        <w:pStyle w:val="ListParagraph"/>
        <w:rPr>
          <w:rFonts w:ascii="Garamond" w:hAnsi="Garamond" w:cs="Calibri"/>
          <w:sz w:val="14"/>
          <w:szCs w:val="14"/>
        </w:rPr>
      </w:pPr>
    </w:p>
    <w:p w14:paraId="61171394" w14:textId="451659C7" w:rsidR="00B77B78" w:rsidRPr="00DE00A6" w:rsidRDefault="00B77B78" w:rsidP="00B77B78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 w:rsidRPr="00DE00A6">
        <w:rPr>
          <w:rFonts w:ascii="Garamond" w:hAnsi="Garamond" w:cs="Calibri"/>
        </w:rPr>
        <w:t>Disallowed $304 million in past transmission pipeline replacements the utility undertook in 2015 through 2018 because the costs exceeded CPUC authorized amounts.</w:t>
      </w:r>
    </w:p>
    <w:p w14:paraId="74CB61FA" w14:textId="77777777" w:rsidR="00B77B78" w:rsidRPr="004430A4" w:rsidRDefault="00B77B78" w:rsidP="00B77B78">
      <w:pPr>
        <w:pStyle w:val="ListParagraph"/>
        <w:rPr>
          <w:rFonts w:ascii="Garamond" w:hAnsi="Garamond" w:cs="Calibri"/>
          <w:sz w:val="14"/>
          <w:szCs w:val="14"/>
        </w:rPr>
      </w:pPr>
    </w:p>
    <w:p w14:paraId="057F040F" w14:textId="3E82E08C" w:rsidR="00B77B78" w:rsidRPr="00DE00A6" w:rsidRDefault="00B77B78" w:rsidP="00B77B78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 w:rsidRPr="00DE00A6">
        <w:rPr>
          <w:rFonts w:ascii="Garamond" w:hAnsi="Garamond" w:cs="Calibri"/>
        </w:rPr>
        <w:t xml:space="preserve">Authorized PG&amp;E to seek a sale of two gas storage fields (Pleasant Creek and Los </w:t>
      </w:r>
      <w:proofErr w:type="spellStart"/>
      <w:r w:rsidRPr="00DE00A6">
        <w:rPr>
          <w:rFonts w:ascii="Garamond" w:hAnsi="Garamond" w:cs="Calibri"/>
        </w:rPr>
        <w:t>Medanos</w:t>
      </w:r>
      <w:proofErr w:type="spellEnd"/>
      <w:r w:rsidRPr="00DE00A6">
        <w:rPr>
          <w:rFonts w:ascii="Garamond" w:hAnsi="Garamond" w:cs="Calibri"/>
        </w:rPr>
        <w:t>). If they are unsold, the utility may decommission them to save customers the expense of upgrading the facilities</w:t>
      </w:r>
      <w:r w:rsidR="000D17D3">
        <w:rPr>
          <w:rFonts w:ascii="Garamond" w:hAnsi="Garamond" w:cs="Calibri"/>
        </w:rPr>
        <w:t>.</w:t>
      </w:r>
    </w:p>
    <w:p w14:paraId="4387740E" w14:textId="67B7B13F" w:rsidR="00B77B78" w:rsidRPr="004430A4" w:rsidRDefault="00B77B78" w:rsidP="00B77B78">
      <w:pPr>
        <w:ind w:firstLine="0"/>
        <w:rPr>
          <w:rFonts w:ascii="Garamond" w:hAnsi="Garamond" w:cs="Calibri"/>
          <w:sz w:val="16"/>
          <w:szCs w:val="16"/>
          <w:u w:val="single"/>
        </w:rPr>
      </w:pPr>
    </w:p>
    <w:p w14:paraId="31B1D3DB" w14:textId="32B3A776" w:rsidR="00B77B78" w:rsidRPr="00A42FDB" w:rsidRDefault="00B77B78" w:rsidP="002164F7">
      <w:pPr>
        <w:pStyle w:val="ListParagraph"/>
        <w:numPr>
          <w:ilvl w:val="0"/>
          <w:numId w:val="17"/>
        </w:numPr>
        <w:rPr>
          <w:rFonts w:ascii="Garamond" w:hAnsi="Garamond" w:cs="Calibri"/>
        </w:rPr>
      </w:pPr>
      <w:r w:rsidRPr="00A42FDB">
        <w:rPr>
          <w:rFonts w:ascii="Garamond" w:hAnsi="Garamond" w:cs="Calibri"/>
          <w:b/>
          <w:bCs/>
        </w:rPr>
        <w:t>PG&amp;E Annual Gas True-up filing (Advice Letter 4200-G) Highlights:</w:t>
      </w:r>
    </w:p>
    <w:p w14:paraId="06A065C0" w14:textId="793451F9" w:rsidR="00B77B78" w:rsidRPr="004430A4" w:rsidRDefault="00B77B78" w:rsidP="00B77B78">
      <w:pPr>
        <w:ind w:firstLine="0"/>
        <w:rPr>
          <w:rFonts w:ascii="Garamond" w:hAnsi="Garamond" w:cs="Calibri"/>
          <w:sz w:val="14"/>
          <w:szCs w:val="14"/>
          <w:u w:val="single"/>
        </w:rPr>
      </w:pPr>
    </w:p>
    <w:p w14:paraId="36DAF6FB" w14:textId="6C044BFA" w:rsidR="00B77B78" w:rsidRPr="00DE00A6" w:rsidRDefault="00B77B78" w:rsidP="00B77B78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 w:rsidRPr="00DE00A6">
        <w:rPr>
          <w:rFonts w:ascii="Garamond" w:hAnsi="Garamond" w:cs="Calibri"/>
        </w:rPr>
        <w:t>On January 1, 2020, PG&amp;E’s gas transportation rates will change to incorporate a $23 million increase in the utility’s 2020 gas transportation revenue requirement that totals $3</w:t>
      </w:r>
      <w:r w:rsidR="000D17D3">
        <w:rPr>
          <w:rFonts w:ascii="Garamond" w:hAnsi="Garamond" w:cs="Calibri"/>
        </w:rPr>
        <w:t>.</w:t>
      </w:r>
      <w:r w:rsidRPr="00DE00A6">
        <w:rPr>
          <w:rFonts w:ascii="Garamond" w:hAnsi="Garamond" w:cs="Calibri"/>
        </w:rPr>
        <w:t xml:space="preserve">668 </w:t>
      </w:r>
      <w:r w:rsidR="000D17D3">
        <w:rPr>
          <w:rFonts w:ascii="Garamond" w:hAnsi="Garamond" w:cs="Calibri"/>
        </w:rPr>
        <w:t>b</w:t>
      </w:r>
      <w:r w:rsidRPr="00DE00A6">
        <w:rPr>
          <w:rFonts w:ascii="Garamond" w:hAnsi="Garamond" w:cs="Calibri"/>
        </w:rPr>
        <w:t>illion</w:t>
      </w:r>
      <w:r w:rsidR="000D17D3">
        <w:rPr>
          <w:rFonts w:ascii="Garamond" w:hAnsi="Garamond" w:cs="Calibri"/>
        </w:rPr>
        <w:t>.</w:t>
      </w:r>
    </w:p>
    <w:p w14:paraId="0941D061" w14:textId="77777777" w:rsidR="00B77B78" w:rsidRPr="004430A4" w:rsidRDefault="00B77B78" w:rsidP="00B77B78">
      <w:pPr>
        <w:pStyle w:val="ListParagraph"/>
        <w:rPr>
          <w:rFonts w:ascii="Garamond" w:hAnsi="Garamond" w:cs="Calibri"/>
          <w:sz w:val="14"/>
          <w:szCs w:val="14"/>
        </w:rPr>
      </w:pPr>
    </w:p>
    <w:p w14:paraId="3CE3E0DF" w14:textId="65ABE550" w:rsidR="00B77B78" w:rsidRPr="00DE00A6" w:rsidRDefault="00B77B78" w:rsidP="00B77B78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 w:rsidRPr="00DE00A6">
        <w:rPr>
          <w:rFonts w:ascii="Garamond" w:hAnsi="Garamond" w:cs="Calibri"/>
        </w:rPr>
        <w:t xml:space="preserve">$16 million increase in revenue requirements used for maintaining gas distribution lines and a $5.6 million increase resulting from D.19-12-056, which approved the utility’s cost of capital for 2020. </w:t>
      </w:r>
    </w:p>
    <w:p w14:paraId="6D36222A" w14:textId="77777777" w:rsidR="00B77B78" w:rsidRPr="004430A4" w:rsidRDefault="00B77B78" w:rsidP="00B77B78">
      <w:pPr>
        <w:pStyle w:val="ListParagraph"/>
        <w:rPr>
          <w:rFonts w:ascii="Garamond" w:hAnsi="Garamond" w:cs="Calibri"/>
          <w:sz w:val="14"/>
          <w:szCs w:val="14"/>
        </w:rPr>
      </w:pPr>
    </w:p>
    <w:p w14:paraId="0D36975E" w14:textId="6297398B" w:rsidR="00B77B78" w:rsidRPr="00DE00A6" w:rsidRDefault="00B77B78" w:rsidP="00B77B78">
      <w:pPr>
        <w:pStyle w:val="ListParagraph"/>
        <w:numPr>
          <w:ilvl w:val="0"/>
          <w:numId w:val="3"/>
        </w:numPr>
        <w:rPr>
          <w:rFonts w:ascii="Garamond" w:hAnsi="Garamond" w:cs="Calibri"/>
        </w:rPr>
      </w:pPr>
      <w:r w:rsidRPr="00DE00A6">
        <w:rPr>
          <w:rFonts w:ascii="Garamond" w:hAnsi="Garamond" w:cs="Calibri"/>
        </w:rPr>
        <w:t xml:space="preserve">$8 million decrease in PG&amp;E’s gas transportation balancing account </w:t>
      </w:r>
      <w:proofErr w:type="spellStart"/>
      <w:r w:rsidRPr="00DE00A6">
        <w:rPr>
          <w:rFonts w:ascii="Garamond" w:hAnsi="Garamond" w:cs="Calibri"/>
        </w:rPr>
        <w:t>undercollections</w:t>
      </w:r>
      <w:proofErr w:type="spellEnd"/>
      <w:r w:rsidRPr="00DE00A6">
        <w:rPr>
          <w:rFonts w:ascii="Garamond" w:hAnsi="Garamond" w:cs="Calibri"/>
        </w:rPr>
        <w:t xml:space="preserve"> and $80 million decrease to fund gas public purpose program costs such as energy efficiency</w:t>
      </w:r>
      <w:r w:rsidR="006F7EEC">
        <w:rPr>
          <w:rFonts w:ascii="Garamond" w:hAnsi="Garamond" w:cs="Calibri"/>
        </w:rPr>
        <w:t>.</w:t>
      </w:r>
      <w:r w:rsidRPr="00DE00A6">
        <w:rPr>
          <w:rStyle w:val="FootnoteReference"/>
          <w:rFonts w:ascii="Garamond" w:hAnsi="Garamond" w:cs="Calibri"/>
        </w:rPr>
        <w:footnoteReference w:id="4"/>
      </w:r>
    </w:p>
    <w:sectPr w:rsidR="00B77B78" w:rsidRPr="00DE00A6" w:rsidSect="005179C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95728" w14:textId="77777777" w:rsidR="00A42FDB" w:rsidRDefault="00A42FDB">
      <w:r>
        <w:separator/>
      </w:r>
    </w:p>
    <w:p w14:paraId="55416668" w14:textId="77777777" w:rsidR="00A42FDB" w:rsidRDefault="00A42FDB"/>
  </w:endnote>
  <w:endnote w:type="continuationSeparator" w:id="0">
    <w:p w14:paraId="01B0B662" w14:textId="77777777" w:rsidR="00A42FDB" w:rsidRDefault="00A42FDB">
      <w:r>
        <w:continuationSeparator/>
      </w:r>
    </w:p>
    <w:p w14:paraId="73518160" w14:textId="77777777" w:rsidR="00A42FDB" w:rsidRDefault="00A42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1117D1" w14:textId="77777777" w:rsidR="00A42FDB" w:rsidRDefault="00A42FDB" w:rsidP="00AA5D1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CB8B6A" w14:textId="77777777"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9B504" w14:textId="149FCF73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Pr="00D31094">
          <w:rPr>
            <w:rFonts w:ascii="Garamond" w:hAnsi="Garamond"/>
            <w:noProof/>
          </w:rPr>
          <w:t>2</w:t>
        </w:r>
        <w:r w:rsidRPr="00D31094">
          <w:rPr>
            <w:rFonts w:ascii="Garamond" w:hAnsi="Garamond"/>
            <w:noProof/>
          </w:rPr>
          <w:fldChar w:fldCharType="end"/>
        </w:r>
      </w:p>
    </w:sdtContent>
  </w:sdt>
  <w:p w14:paraId="4CD8D1CB" w14:textId="481D7783"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14:paraId="3278C832" w14:textId="126BF41C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>Rate Increase Advisory</w:t>
        </w:r>
        <w:r w:rsidRPr="00D31094">
          <w:rPr>
            <w:rFonts w:ascii="Garamond" w:hAnsi="Garamond"/>
          </w:rPr>
          <w:t xml:space="preserve"> 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Pr="00D31094">
          <w:rPr>
            <w:rFonts w:ascii="Garamond" w:hAnsi="Garamond"/>
            <w:noProof/>
          </w:rPr>
          <w:t>2</w:t>
        </w:r>
        <w:r w:rsidRPr="00D31094">
          <w:rPr>
            <w:rFonts w:ascii="Garamond" w:hAnsi="Garamond"/>
            <w:noProof/>
          </w:rPr>
          <w:fldChar w:fldCharType="end"/>
        </w:r>
        <w:r w:rsidRPr="00D31094">
          <w:rPr>
            <w:rFonts w:ascii="Garamond" w:hAnsi="Garamond"/>
          </w:rPr>
          <w:t xml:space="preserve"> </w:t>
        </w:r>
      </w:p>
    </w:sdtContent>
  </w:sdt>
  <w:p w14:paraId="3E9F6AC9" w14:textId="77777777"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2DCE4" w14:textId="77777777" w:rsidR="00A42FDB" w:rsidRDefault="00A42FDB">
      <w:r>
        <w:separator/>
      </w:r>
    </w:p>
    <w:p w14:paraId="1250F744" w14:textId="77777777" w:rsidR="00A42FDB" w:rsidRDefault="00A42FDB"/>
  </w:footnote>
  <w:footnote w:type="continuationSeparator" w:id="0">
    <w:p w14:paraId="47D92884" w14:textId="77777777" w:rsidR="00A42FDB" w:rsidRDefault="00A42FDB">
      <w:r>
        <w:continuationSeparator/>
      </w:r>
    </w:p>
    <w:p w14:paraId="70F418C8" w14:textId="77777777" w:rsidR="00A42FDB" w:rsidRDefault="00A42FDB"/>
  </w:footnote>
  <w:footnote w:id="1">
    <w:p w14:paraId="62A66214" w14:textId="77777777" w:rsidR="00A42FDB" w:rsidRPr="00375A37" w:rsidRDefault="00A42FDB" w:rsidP="00EE1405">
      <w:pPr>
        <w:pStyle w:val="FootnoteText"/>
        <w:rPr>
          <w:rFonts w:ascii="Garamond" w:hAnsi="Garamond"/>
          <w:sz w:val="22"/>
          <w:szCs w:val="22"/>
        </w:rPr>
      </w:pPr>
      <w:r w:rsidRPr="00375A37">
        <w:rPr>
          <w:rStyle w:val="FootnoteReference"/>
          <w:rFonts w:ascii="Garamond" w:hAnsi="Garamond"/>
          <w:sz w:val="22"/>
          <w:szCs w:val="22"/>
        </w:rPr>
        <w:footnoteRef/>
      </w:r>
      <w:r w:rsidRPr="00375A37">
        <w:rPr>
          <w:rFonts w:ascii="Garamond" w:hAnsi="Garamond"/>
          <w:sz w:val="22"/>
          <w:szCs w:val="22"/>
        </w:rPr>
        <w:t xml:space="preserve"> Bill impacts computed using monthly average of </w:t>
      </w:r>
      <w:r>
        <w:rPr>
          <w:rFonts w:ascii="Garamond" w:hAnsi="Garamond"/>
          <w:sz w:val="22"/>
          <w:szCs w:val="22"/>
        </w:rPr>
        <w:t>500 kWh.</w:t>
      </w:r>
      <w:r w:rsidRPr="00375A37">
        <w:rPr>
          <w:rFonts w:ascii="Garamond" w:hAnsi="Garamond"/>
          <w:sz w:val="22"/>
          <w:szCs w:val="22"/>
        </w:rPr>
        <w:t xml:space="preserve">  </w:t>
      </w:r>
    </w:p>
  </w:footnote>
  <w:footnote w:id="2">
    <w:p w14:paraId="594BA55A" w14:textId="1A95096C" w:rsidR="00A42FDB" w:rsidRPr="00375A37" w:rsidRDefault="00A42FDB" w:rsidP="006F7EEC">
      <w:pPr>
        <w:pStyle w:val="FootnoteText"/>
        <w:ind w:left="360" w:firstLine="0"/>
        <w:rPr>
          <w:rFonts w:ascii="Garamond" w:hAnsi="Garamond"/>
          <w:sz w:val="22"/>
          <w:szCs w:val="22"/>
        </w:rPr>
      </w:pPr>
      <w:r w:rsidRPr="00375A37">
        <w:rPr>
          <w:rStyle w:val="FootnoteReference"/>
          <w:rFonts w:ascii="Garamond" w:hAnsi="Garamond"/>
          <w:sz w:val="22"/>
          <w:szCs w:val="22"/>
        </w:rPr>
        <w:footnoteRef/>
      </w:r>
      <w:r w:rsidRPr="00375A37">
        <w:rPr>
          <w:rFonts w:ascii="Garamond" w:hAnsi="Garamond"/>
          <w:sz w:val="22"/>
          <w:szCs w:val="22"/>
        </w:rPr>
        <w:t xml:space="preserve"> Includes procurement rate changes effective 1/1/20 in AL 4199, Purpose Program Surcharge in AL 4174-G, and annual </w:t>
      </w:r>
      <w:r w:rsidR="006F7EEC">
        <w:rPr>
          <w:rFonts w:ascii="Garamond" w:hAnsi="Garamond"/>
          <w:sz w:val="22"/>
          <w:szCs w:val="22"/>
        </w:rPr>
        <w:t xml:space="preserve">   </w:t>
      </w:r>
      <w:r w:rsidRPr="00375A37">
        <w:rPr>
          <w:rFonts w:ascii="Garamond" w:hAnsi="Garamond"/>
          <w:sz w:val="22"/>
          <w:szCs w:val="22"/>
        </w:rPr>
        <w:t xml:space="preserve">gas true-up in AL 4200-G. </w:t>
      </w:r>
      <w:r>
        <w:rPr>
          <w:rFonts w:ascii="Garamond" w:hAnsi="Garamond"/>
          <w:sz w:val="22"/>
          <w:szCs w:val="22"/>
        </w:rPr>
        <w:t xml:space="preserve">Note that gas procurement rates vary </w:t>
      </w:r>
      <w:proofErr w:type="gramStart"/>
      <w:r>
        <w:rPr>
          <w:rFonts w:ascii="Garamond" w:hAnsi="Garamond"/>
          <w:sz w:val="22"/>
          <w:szCs w:val="22"/>
        </w:rPr>
        <w:t>on a monthly basis</w:t>
      </w:r>
      <w:proofErr w:type="gramEnd"/>
      <w:r>
        <w:rPr>
          <w:rFonts w:ascii="Garamond" w:hAnsi="Garamond"/>
          <w:sz w:val="22"/>
          <w:szCs w:val="22"/>
        </w:rPr>
        <w:t>. These gas bill impacts are only representative of procurement rates for 1/1/20.</w:t>
      </w:r>
    </w:p>
  </w:footnote>
  <w:footnote w:id="3">
    <w:p w14:paraId="2E501598" w14:textId="77777777" w:rsidR="006F7EEC" w:rsidRDefault="00A42FDB" w:rsidP="00EE1405">
      <w:pPr>
        <w:pStyle w:val="FootnoteText"/>
        <w:rPr>
          <w:rFonts w:ascii="Garamond" w:hAnsi="Garamond"/>
          <w:sz w:val="22"/>
          <w:szCs w:val="22"/>
        </w:rPr>
      </w:pPr>
      <w:r w:rsidRPr="00375A37">
        <w:rPr>
          <w:rStyle w:val="FootnoteReference"/>
          <w:rFonts w:ascii="Garamond" w:hAnsi="Garamond"/>
          <w:sz w:val="22"/>
          <w:szCs w:val="22"/>
        </w:rPr>
        <w:footnoteRef/>
      </w:r>
      <w:r w:rsidRPr="00375A37">
        <w:rPr>
          <w:rFonts w:ascii="Garamond" w:hAnsi="Garamond"/>
          <w:sz w:val="22"/>
          <w:szCs w:val="22"/>
        </w:rPr>
        <w:t xml:space="preserve"> Bill impacts computed using monthly average of 32 therms</w:t>
      </w:r>
      <w:r>
        <w:rPr>
          <w:rFonts w:ascii="Garamond" w:hAnsi="Garamond"/>
          <w:sz w:val="22"/>
          <w:szCs w:val="22"/>
        </w:rPr>
        <w:t xml:space="preserve"> and based on gas commodity procurement cost as of 1/1/20</w:t>
      </w:r>
      <w:r w:rsidRPr="00375A37">
        <w:rPr>
          <w:rFonts w:ascii="Garamond" w:hAnsi="Garamond"/>
          <w:sz w:val="22"/>
          <w:szCs w:val="22"/>
        </w:rPr>
        <w:t xml:space="preserve">.  </w:t>
      </w:r>
      <w:r w:rsidR="006F7EEC">
        <w:rPr>
          <w:rFonts w:ascii="Garamond" w:hAnsi="Garamond"/>
          <w:sz w:val="22"/>
          <w:szCs w:val="22"/>
        </w:rPr>
        <w:t xml:space="preserve">   </w:t>
      </w:r>
    </w:p>
    <w:p w14:paraId="4613553F" w14:textId="2D078D1C" w:rsidR="00A42FDB" w:rsidRPr="00375A37" w:rsidRDefault="006F7EEC" w:rsidP="00EE1405">
      <w:pPr>
        <w:pStyle w:val="FootnoteTex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="00A42FDB" w:rsidRPr="00375A37">
        <w:rPr>
          <w:rFonts w:ascii="Garamond" w:hAnsi="Garamond"/>
          <w:sz w:val="22"/>
          <w:szCs w:val="22"/>
        </w:rPr>
        <w:t xml:space="preserve">Amount of gas bill depends upon actual quantity of therms used by customer.  </w:t>
      </w:r>
    </w:p>
  </w:footnote>
  <w:footnote w:id="4">
    <w:p w14:paraId="65C2FB5F" w14:textId="77777777" w:rsidR="00A42FDB" w:rsidRPr="00375A37" w:rsidRDefault="00A42FDB" w:rsidP="00B77B78">
      <w:pPr>
        <w:pStyle w:val="FootnoteText"/>
        <w:rPr>
          <w:rFonts w:ascii="Garamond" w:hAnsi="Garamond"/>
          <w:sz w:val="22"/>
          <w:szCs w:val="22"/>
        </w:rPr>
      </w:pPr>
      <w:r w:rsidRPr="00375A37">
        <w:rPr>
          <w:rStyle w:val="FootnoteReference"/>
          <w:rFonts w:ascii="Garamond" w:hAnsi="Garamond"/>
          <w:sz w:val="22"/>
          <w:szCs w:val="22"/>
        </w:rPr>
        <w:footnoteRef/>
      </w:r>
      <w:r w:rsidRPr="00375A37">
        <w:rPr>
          <w:rFonts w:ascii="Garamond" w:hAnsi="Garamond"/>
          <w:sz w:val="22"/>
          <w:szCs w:val="22"/>
        </w:rPr>
        <w:t xml:space="preserve"> Gas Public Purpose Surcharges for 2020 implemented in AL 4174-G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2AB1ABC3" w14:textId="77777777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713E3383" w14:textId="77777777" w:rsidR="00A42FDB" w:rsidRPr="002C361D" w:rsidRDefault="00A42FDB" w:rsidP="002C361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January 2020</w:t>
          </w:r>
        </w:p>
      </w:tc>
      <w:tc>
        <w:tcPr>
          <w:tcW w:w="6151" w:type="dxa"/>
          <w:shd w:val="clear" w:color="auto" w:fill="002060"/>
          <w:vAlign w:val="center"/>
        </w:tcPr>
        <w:p w14:paraId="7A4B29B0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308B43F1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69BA49E4" w14:textId="77777777"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7A981762" wp14:editId="37C61033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390C123" w14:textId="77777777"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19F47A57" w14:textId="77777777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4EACFEB4" w14:textId="4E4B4CBA" w:rsidR="00A42FDB" w:rsidRPr="002C361D" w:rsidRDefault="00A42FDB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January 2020</w:t>
          </w:r>
        </w:p>
      </w:tc>
      <w:tc>
        <w:tcPr>
          <w:tcW w:w="6151" w:type="dxa"/>
          <w:shd w:val="clear" w:color="auto" w:fill="002060"/>
          <w:vAlign w:val="center"/>
        </w:tcPr>
        <w:p w14:paraId="15EECC25" w14:textId="77777777"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5DB415B5" w14:textId="262DC0D8"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60B1A42F" w14:textId="1A226CAD"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35AFE577" wp14:editId="4A5A3F9E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7D8BA4A" w14:textId="6B7109E4"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FF2D"/>
      </v:shape>
    </w:pict>
  </w:numPicBullet>
  <w:abstractNum w:abstractNumId="0" w15:restartNumberingAfterBreak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735AE"/>
    <w:multiLevelType w:val="hybridMultilevel"/>
    <w:tmpl w:val="00DAE9A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7"/>
  </w:num>
  <w:num w:numId="5">
    <w:abstractNumId w:val="2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5"/>
    <w:rsid w:val="00004E2F"/>
    <w:rsid w:val="000069E1"/>
    <w:rsid w:val="000115F0"/>
    <w:rsid w:val="00023054"/>
    <w:rsid w:val="00024CF2"/>
    <w:rsid w:val="00025EEC"/>
    <w:rsid w:val="00026B38"/>
    <w:rsid w:val="00027DF1"/>
    <w:rsid w:val="0003222D"/>
    <w:rsid w:val="00034FD9"/>
    <w:rsid w:val="00045CDD"/>
    <w:rsid w:val="0006665E"/>
    <w:rsid w:val="0007148B"/>
    <w:rsid w:val="00082BD3"/>
    <w:rsid w:val="000A298C"/>
    <w:rsid w:val="000A37E9"/>
    <w:rsid w:val="000A58EF"/>
    <w:rsid w:val="000C4126"/>
    <w:rsid w:val="000D17D3"/>
    <w:rsid w:val="000D6E0B"/>
    <w:rsid w:val="000E3D03"/>
    <w:rsid w:val="001227B5"/>
    <w:rsid w:val="00130972"/>
    <w:rsid w:val="00165273"/>
    <w:rsid w:val="001923C3"/>
    <w:rsid w:val="00197C00"/>
    <w:rsid w:val="001B6393"/>
    <w:rsid w:val="001D291E"/>
    <w:rsid w:val="002027EB"/>
    <w:rsid w:val="00210772"/>
    <w:rsid w:val="00211A70"/>
    <w:rsid w:val="00216078"/>
    <w:rsid w:val="002164F7"/>
    <w:rsid w:val="00225BA9"/>
    <w:rsid w:val="0022639A"/>
    <w:rsid w:val="0024182E"/>
    <w:rsid w:val="00244F7D"/>
    <w:rsid w:val="00247273"/>
    <w:rsid w:val="00247CD5"/>
    <w:rsid w:val="00247F2E"/>
    <w:rsid w:val="002604B0"/>
    <w:rsid w:val="00264F19"/>
    <w:rsid w:val="0027768E"/>
    <w:rsid w:val="002826A9"/>
    <w:rsid w:val="0029088B"/>
    <w:rsid w:val="002A2068"/>
    <w:rsid w:val="002A2DE6"/>
    <w:rsid w:val="002A770B"/>
    <w:rsid w:val="002B32F2"/>
    <w:rsid w:val="002C361D"/>
    <w:rsid w:val="002D55E3"/>
    <w:rsid w:val="00313C67"/>
    <w:rsid w:val="003148B3"/>
    <w:rsid w:val="0032676E"/>
    <w:rsid w:val="0032777C"/>
    <w:rsid w:val="003373DE"/>
    <w:rsid w:val="0036029F"/>
    <w:rsid w:val="00375A37"/>
    <w:rsid w:val="00383440"/>
    <w:rsid w:val="003A5EDF"/>
    <w:rsid w:val="003B60EF"/>
    <w:rsid w:val="003D265D"/>
    <w:rsid w:val="003D72D0"/>
    <w:rsid w:val="003E1C2B"/>
    <w:rsid w:val="003E2336"/>
    <w:rsid w:val="003E2AB6"/>
    <w:rsid w:val="003E6280"/>
    <w:rsid w:val="003F497F"/>
    <w:rsid w:val="0040086D"/>
    <w:rsid w:val="004041BA"/>
    <w:rsid w:val="004109D4"/>
    <w:rsid w:val="00420AE1"/>
    <w:rsid w:val="00421E5E"/>
    <w:rsid w:val="004308B1"/>
    <w:rsid w:val="00433148"/>
    <w:rsid w:val="004430A4"/>
    <w:rsid w:val="004576EC"/>
    <w:rsid w:val="004642EC"/>
    <w:rsid w:val="00467C49"/>
    <w:rsid w:val="00474F83"/>
    <w:rsid w:val="00487DDA"/>
    <w:rsid w:val="004941D2"/>
    <w:rsid w:val="00497EB9"/>
    <w:rsid w:val="004A2C07"/>
    <w:rsid w:val="004A7E44"/>
    <w:rsid w:val="004B0515"/>
    <w:rsid w:val="004F0FB0"/>
    <w:rsid w:val="004F467C"/>
    <w:rsid w:val="004F7B2B"/>
    <w:rsid w:val="00506C17"/>
    <w:rsid w:val="0051222C"/>
    <w:rsid w:val="00512B1B"/>
    <w:rsid w:val="00513835"/>
    <w:rsid w:val="005179CC"/>
    <w:rsid w:val="00530D7C"/>
    <w:rsid w:val="00531FB3"/>
    <w:rsid w:val="0053241B"/>
    <w:rsid w:val="00532EA7"/>
    <w:rsid w:val="005363FD"/>
    <w:rsid w:val="005372D9"/>
    <w:rsid w:val="0054359F"/>
    <w:rsid w:val="005517C6"/>
    <w:rsid w:val="00571C5D"/>
    <w:rsid w:val="00575FEF"/>
    <w:rsid w:val="00583A04"/>
    <w:rsid w:val="005C4EC3"/>
    <w:rsid w:val="005D13A8"/>
    <w:rsid w:val="005D2EAB"/>
    <w:rsid w:val="005E4368"/>
    <w:rsid w:val="005F4F7C"/>
    <w:rsid w:val="00640B0E"/>
    <w:rsid w:val="006431EF"/>
    <w:rsid w:val="006465FE"/>
    <w:rsid w:val="00661780"/>
    <w:rsid w:val="00670772"/>
    <w:rsid w:val="0067331F"/>
    <w:rsid w:val="006747CF"/>
    <w:rsid w:val="00674A43"/>
    <w:rsid w:val="00680A0B"/>
    <w:rsid w:val="00680B26"/>
    <w:rsid w:val="00682BFD"/>
    <w:rsid w:val="00693FCB"/>
    <w:rsid w:val="006A05D6"/>
    <w:rsid w:val="006B3518"/>
    <w:rsid w:val="006B7F07"/>
    <w:rsid w:val="006D4605"/>
    <w:rsid w:val="006D5A7C"/>
    <w:rsid w:val="006F186F"/>
    <w:rsid w:val="006F4F92"/>
    <w:rsid w:val="006F7EEC"/>
    <w:rsid w:val="00704D6C"/>
    <w:rsid w:val="00714B95"/>
    <w:rsid w:val="00715E59"/>
    <w:rsid w:val="007337FB"/>
    <w:rsid w:val="007350FA"/>
    <w:rsid w:val="00736959"/>
    <w:rsid w:val="00740A58"/>
    <w:rsid w:val="00747A77"/>
    <w:rsid w:val="00750033"/>
    <w:rsid w:val="007501A3"/>
    <w:rsid w:val="0075685A"/>
    <w:rsid w:val="00764CCE"/>
    <w:rsid w:val="00770686"/>
    <w:rsid w:val="00774E68"/>
    <w:rsid w:val="0077538E"/>
    <w:rsid w:val="007821A8"/>
    <w:rsid w:val="00785260"/>
    <w:rsid w:val="007875CA"/>
    <w:rsid w:val="0079582D"/>
    <w:rsid w:val="007A4959"/>
    <w:rsid w:val="007B22E5"/>
    <w:rsid w:val="007B6E1C"/>
    <w:rsid w:val="007C0FA4"/>
    <w:rsid w:val="007E53BD"/>
    <w:rsid w:val="007F4948"/>
    <w:rsid w:val="007F6FCF"/>
    <w:rsid w:val="007F735D"/>
    <w:rsid w:val="008028BD"/>
    <w:rsid w:val="00804A0B"/>
    <w:rsid w:val="00805C23"/>
    <w:rsid w:val="00821BC9"/>
    <w:rsid w:val="00826202"/>
    <w:rsid w:val="0085067B"/>
    <w:rsid w:val="00851B27"/>
    <w:rsid w:val="00851DBB"/>
    <w:rsid w:val="00860A36"/>
    <w:rsid w:val="008611D6"/>
    <w:rsid w:val="0087708C"/>
    <w:rsid w:val="0089340B"/>
    <w:rsid w:val="00894283"/>
    <w:rsid w:val="008A19CA"/>
    <w:rsid w:val="008B4F7C"/>
    <w:rsid w:val="008B4FB2"/>
    <w:rsid w:val="008B545E"/>
    <w:rsid w:val="008F0EAE"/>
    <w:rsid w:val="008F3C57"/>
    <w:rsid w:val="009028CF"/>
    <w:rsid w:val="00904F9A"/>
    <w:rsid w:val="00906436"/>
    <w:rsid w:val="00906D2F"/>
    <w:rsid w:val="0091796E"/>
    <w:rsid w:val="00923392"/>
    <w:rsid w:val="00960614"/>
    <w:rsid w:val="00962953"/>
    <w:rsid w:val="00983DE9"/>
    <w:rsid w:val="009853D3"/>
    <w:rsid w:val="00990645"/>
    <w:rsid w:val="009917BB"/>
    <w:rsid w:val="00997619"/>
    <w:rsid w:val="009A4345"/>
    <w:rsid w:val="009A5A01"/>
    <w:rsid w:val="009B13C0"/>
    <w:rsid w:val="009B28BF"/>
    <w:rsid w:val="009C1F06"/>
    <w:rsid w:val="009C413D"/>
    <w:rsid w:val="009F2F79"/>
    <w:rsid w:val="009F37FD"/>
    <w:rsid w:val="00A04EDD"/>
    <w:rsid w:val="00A100CA"/>
    <w:rsid w:val="00A12A44"/>
    <w:rsid w:val="00A14F8E"/>
    <w:rsid w:val="00A24FB2"/>
    <w:rsid w:val="00A31DB8"/>
    <w:rsid w:val="00A42FDB"/>
    <w:rsid w:val="00A47930"/>
    <w:rsid w:val="00A54A53"/>
    <w:rsid w:val="00A565BE"/>
    <w:rsid w:val="00A56964"/>
    <w:rsid w:val="00A64E58"/>
    <w:rsid w:val="00A86289"/>
    <w:rsid w:val="00A9325D"/>
    <w:rsid w:val="00A9594E"/>
    <w:rsid w:val="00AA1472"/>
    <w:rsid w:val="00AA5D1C"/>
    <w:rsid w:val="00AC5C9F"/>
    <w:rsid w:val="00AC796F"/>
    <w:rsid w:val="00AD2B02"/>
    <w:rsid w:val="00AD5628"/>
    <w:rsid w:val="00AE5D54"/>
    <w:rsid w:val="00AF08F7"/>
    <w:rsid w:val="00AF7013"/>
    <w:rsid w:val="00B12BBD"/>
    <w:rsid w:val="00B2335F"/>
    <w:rsid w:val="00B30AA1"/>
    <w:rsid w:val="00B67CC1"/>
    <w:rsid w:val="00B77B78"/>
    <w:rsid w:val="00B8732B"/>
    <w:rsid w:val="00B90CB9"/>
    <w:rsid w:val="00BB3903"/>
    <w:rsid w:val="00BC591F"/>
    <w:rsid w:val="00BD1059"/>
    <w:rsid w:val="00BD2851"/>
    <w:rsid w:val="00BE17F2"/>
    <w:rsid w:val="00BF53B3"/>
    <w:rsid w:val="00BF5B47"/>
    <w:rsid w:val="00C011FD"/>
    <w:rsid w:val="00C21A02"/>
    <w:rsid w:val="00C459C9"/>
    <w:rsid w:val="00C63C9B"/>
    <w:rsid w:val="00C67186"/>
    <w:rsid w:val="00C72AE1"/>
    <w:rsid w:val="00C83FB0"/>
    <w:rsid w:val="00C84C80"/>
    <w:rsid w:val="00C85647"/>
    <w:rsid w:val="00C856A2"/>
    <w:rsid w:val="00C87F18"/>
    <w:rsid w:val="00CA2061"/>
    <w:rsid w:val="00CA65A7"/>
    <w:rsid w:val="00CA7021"/>
    <w:rsid w:val="00CB4F96"/>
    <w:rsid w:val="00CC0499"/>
    <w:rsid w:val="00CD3764"/>
    <w:rsid w:val="00CE1624"/>
    <w:rsid w:val="00CF044A"/>
    <w:rsid w:val="00CF4BB6"/>
    <w:rsid w:val="00D00D38"/>
    <w:rsid w:val="00D01D0F"/>
    <w:rsid w:val="00D10B02"/>
    <w:rsid w:val="00D13742"/>
    <w:rsid w:val="00D26DE7"/>
    <w:rsid w:val="00D31094"/>
    <w:rsid w:val="00D410D3"/>
    <w:rsid w:val="00D431EC"/>
    <w:rsid w:val="00D44ED3"/>
    <w:rsid w:val="00D53687"/>
    <w:rsid w:val="00D636DC"/>
    <w:rsid w:val="00D6482E"/>
    <w:rsid w:val="00D64A9A"/>
    <w:rsid w:val="00D80425"/>
    <w:rsid w:val="00D83727"/>
    <w:rsid w:val="00D85AE4"/>
    <w:rsid w:val="00D96F26"/>
    <w:rsid w:val="00DA1AA5"/>
    <w:rsid w:val="00DA2F3D"/>
    <w:rsid w:val="00DB48E8"/>
    <w:rsid w:val="00DB7796"/>
    <w:rsid w:val="00DC7C3E"/>
    <w:rsid w:val="00DD0AA0"/>
    <w:rsid w:val="00DD23FA"/>
    <w:rsid w:val="00DE00A6"/>
    <w:rsid w:val="00E07248"/>
    <w:rsid w:val="00E15290"/>
    <w:rsid w:val="00E17ECA"/>
    <w:rsid w:val="00E30A95"/>
    <w:rsid w:val="00E3304B"/>
    <w:rsid w:val="00E33B56"/>
    <w:rsid w:val="00E46AC1"/>
    <w:rsid w:val="00E62EB2"/>
    <w:rsid w:val="00E64305"/>
    <w:rsid w:val="00E74DCD"/>
    <w:rsid w:val="00E767CC"/>
    <w:rsid w:val="00E81868"/>
    <w:rsid w:val="00E97440"/>
    <w:rsid w:val="00E97705"/>
    <w:rsid w:val="00E97749"/>
    <w:rsid w:val="00EB68DB"/>
    <w:rsid w:val="00EB6CA7"/>
    <w:rsid w:val="00EC2501"/>
    <w:rsid w:val="00EC65F4"/>
    <w:rsid w:val="00EC7526"/>
    <w:rsid w:val="00ED1B8A"/>
    <w:rsid w:val="00EE008F"/>
    <w:rsid w:val="00EE1405"/>
    <w:rsid w:val="00EE514E"/>
    <w:rsid w:val="00EE5D73"/>
    <w:rsid w:val="00EF5FB4"/>
    <w:rsid w:val="00EF6BD5"/>
    <w:rsid w:val="00F114D0"/>
    <w:rsid w:val="00F12819"/>
    <w:rsid w:val="00F22537"/>
    <w:rsid w:val="00F319C3"/>
    <w:rsid w:val="00F4705B"/>
    <w:rsid w:val="00F4739A"/>
    <w:rsid w:val="00F52A15"/>
    <w:rsid w:val="00F54152"/>
    <w:rsid w:val="00F622E1"/>
    <w:rsid w:val="00F64336"/>
    <w:rsid w:val="00F67D94"/>
    <w:rsid w:val="00F85BA0"/>
    <w:rsid w:val="00F97A4E"/>
    <w:rsid w:val="00FA7045"/>
    <w:rsid w:val="00FB198C"/>
    <w:rsid w:val="00FD3A7D"/>
    <w:rsid w:val="00FD4D9F"/>
    <w:rsid w:val="00FE18AB"/>
    <w:rsid w:val="00FE1F46"/>
    <w:rsid w:val="00FE2136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4FE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styleId="GridTable3-Accent2">
    <w:name w:val="Grid Table 3 Accent 2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styleId="GridTable5Dark-Accent2">
    <w:name w:val="Grid Table 5 Dark Accent 2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ctive-action.info/_ICA_Today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ctive-action.info/_ICA_Today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2" ma:contentTypeDescription="Create a new document." ma:contentTypeScope="" ma:versionID="4c36454f8913f40893814dcd288dd97d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b96c0a79422527cba9412756cbc60692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30BBCB-3D64-4605-A5CC-FE17F02316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6DDA7-898F-4E01-86E1-11F200A0A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subject/>
  <dc:creator/>
  <cp:keywords/>
  <dc:description/>
  <cp:lastModifiedBy/>
  <cp:revision>1</cp:revision>
  <dcterms:created xsi:type="dcterms:W3CDTF">2020-01-03T00:01:00Z</dcterms:created>
  <dcterms:modified xsi:type="dcterms:W3CDTF">2020-07-23T18:36:00Z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