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A7" w:rsidRDefault="00EB6CA7" w:rsidP="009C2E65">
      <w:pPr>
        <w:ind w:firstLine="0"/>
      </w:pPr>
      <w:bookmarkStart w:id="0" w:name="_GoBack"/>
      <w:bookmarkEnd w:id="0"/>
    </w:p>
    <w:p w:rsidR="00247F2E" w:rsidRPr="00BA11E4" w:rsidRDefault="007350FA" w:rsidP="00BA11E4">
      <w:pPr>
        <w:spacing w:after="240"/>
        <w:jc w:val="center"/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</w:pPr>
      <w:r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GAS 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RATE</w:t>
      </w:r>
      <w:r w:rsidR="007C0FA4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INCREASE</w:t>
      </w:r>
      <w:r w:rsidR="00207A98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>/DECREASE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ALERT EFFECTIVE</w:t>
      </w:r>
      <w:r w:rsidR="00F71284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May</w:t>
      </w:r>
      <w:r w:rsidR="00247F2E" w:rsidRPr="00DE00A6">
        <w:rPr>
          <w:rFonts w:ascii="Garamond" w:hAnsi="Garamond" w:cs="Calibri"/>
          <w:b/>
          <w:bCs/>
          <w:color w:val="7B230B" w:themeColor="accent1" w:themeShade="BF"/>
          <w:sz w:val="28"/>
          <w:szCs w:val="28"/>
          <w:u w:val="single"/>
        </w:rPr>
        <w:t xml:space="preserve"> 1, 2020</w:t>
      </w:r>
    </w:p>
    <w:p w:rsidR="009C2E65" w:rsidRDefault="00433148" w:rsidP="0027768E">
      <w:pPr>
        <w:ind w:firstLine="0"/>
        <w:rPr>
          <w:rFonts w:ascii="Garamond" w:hAnsi="Garamond" w:cs="Calibri"/>
        </w:rPr>
      </w:pPr>
      <w:r>
        <w:rPr>
          <w:rFonts w:ascii="Garamond" w:hAnsi="Garamond" w:cs="Calibri"/>
          <w:b/>
          <w:bCs/>
          <w:color w:val="7030A0"/>
        </w:rPr>
        <w:t xml:space="preserve">Sempra </w:t>
      </w:r>
      <w:bookmarkStart w:id="1" w:name="_Hlk38358903"/>
      <w:r>
        <w:rPr>
          <w:rFonts w:ascii="Garamond" w:hAnsi="Garamond" w:cs="Calibri"/>
          <w:b/>
          <w:bCs/>
          <w:color w:val="7030A0"/>
        </w:rPr>
        <w:t>(</w:t>
      </w:r>
      <w:r w:rsidR="00ED1B8A">
        <w:rPr>
          <w:rFonts w:ascii="Garamond" w:hAnsi="Garamond" w:cs="Calibri"/>
          <w:b/>
          <w:bCs/>
          <w:color w:val="7030A0"/>
        </w:rPr>
        <w:t>SoCalGas and SDG&amp;E)</w:t>
      </w:r>
      <w:r w:rsidR="00BF5B47" w:rsidRPr="00DE00A6">
        <w:rPr>
          <w:rFonts w:ascii="Garamond" w:hAnsi="Garamond" w:cs="Calibri"/>
          <w:b/>
          <w:bCs/>
          <w:color w:val="7030A0"/>
        </w:rPr>
        <w:t xml:space="preserve"> - </w:t>
      </w:r>
      <w:r w:rsidR="00770686" w:rsidRPr="00DE00A6">
        <w:rPr>
          <w:rFonts w:ascii="Garamond" w:hAnsi="Garamond" w:cs="Calibri"/>
        </w:rPr>
        <w:t>The C</w:t>
      </w:r>
      <w:r w:rsidR="007C0FA4" w:rsidRPr="00DE00A6">
        <w:rPr>
          <w:rFonts w:ascii="Garamond" w:hAnsi="Garamond" w:cs="Calibri"/>
        </w:rPr>
        <w:t>PUC</w:t>
      </w:r>
      <w:r w:rsidR="00770686" w:rsidRPr="00DE00A6">
        <w:rPr>
          <w:rFonts w:ascii="Garamond" w:hAnsi="Garamond" w:cs="Calibri"/>
        </w:rPr>
        <w:t xml:space="preserve"> recently</w:t>
      </w:r>
      <w:r w:rsidR="00F71284">
        <w:rPr>
          <w:rFonts w:ascii="Garamond" w:hAnsi="Garamond" w:cs="Calibri"/>
        </w:rPr>
        <w:t xml:space="preserve"> adopted a decision in Sempra’s 2020 </w:t>
      </w:r>
      <w:r w:rsidR="00F71284" w:rsidRPr="00F71284">
        <w:rPr>
          <w:rFonts w:ascii="Garamond" w:hAnsi="Garamond" w:cs="Calibri"/>
        </w:rPr>
        <w:t>Triennial Cost Allocation Proceeding</w:t>
      </w:r>
      <w:bookmarkEnd w:id="1"/>
      <w:r w:rsidR="00F71284" w:rsidRPr="00F71284">
        <w:rPr>
          <w:rFonts w:ascii="Garamond" w:hAnsi="Garamond" w:cs="Calibri"/>
        </w:rPr>
        <w:t xml:space="preserve"> (TCAP)</w:t>
      </w:r>
      <w:r w:rsidR="00A47711">
        <w:rPr>
          <w:rFonts w:ascii="Garamond" w:hAnsi="Garamond" w:cs="Calibri"/>
        </w:rPr>
        <w:t>.</w:t>
      </w:r>
      <w:r w:rsidR="00A47711" w:rsidRPr="00A47711">
        <w:t xml:space="preserve"> </w:t>
      </w:r>
      <w:r w:rsidR="00A47711" w:rsidRPr="00A47711">
        <w:rPr>
          <w:rFonts w:ascii="Garamond" w:hAnsi="Garamond" w:cs="Calibri"/>
        </w:rPr>
        <w:t>D</w:t>
      </w:r>
      <w:r w:rsidR="00304F5A">
        <w:rPr>
          <w:rFonts w:ascii="Garamond" w:hAnsi="Garamond" w:cs="Calibri"/>
        </w:rPr>
        <w:t xml:space="preserve">ecision </w:t>
      </w:r>
      <w:r w:rsidR="00A47711" w:rsidRPr="00A47711">
        <w:rPr>
          <w:rFonts w:ascii="Garamond" w:hAnsi="Garamond" w:cs="Calibri"/>
        </w:rPr>
        <w:t xml:space="preserve">20-02-045 adopted demand forecasts for core and noncore customers, embedded and Long Run Marginal Cost methodologies for use in allocating authorized costs across customer classes, a modified storage capacity </w:t>
      </w:r>
      <w:r w:rsidR="00304F5A">
        <w:rPr>
          <w:rFonts w:ascii="Garamond" w:hAnsi="Garamond" w:cs="Calibri"/>
        </w:rPr>
        <w:t xml:space="preserve">allocation </w:t>
      </w:r>
      <w:r w:rsidR="00A47711" w:rsidRPr="00A47711">
        <w:rPr>
          <w:rFonts w:ascii="Garamond" w:hAnsi="Garamond" w:cs="Calibri"/>
        </w:rPr>
        <w:t>of the Aliso Canyon Storage Facility, an</w:t>
      </w:r>
      <w:r w:rsidR="00304F5A">
        <w:rPr>
          <w:rFonts w:ascii="Garamond" w:hAnsi="Garamond" w:cs="Calibri"/>
        </w:rPr>
        <w:t xml:space="preserve">d extended </w:t>
      </w:r>
      <w:r w:rsidR="00A47711" w:rsidRPr="00A47711">
        <w:rPr>
          <w:rFonts w:ascii="Garamond" w:hAnsi="Garamond" w:cs="Calibri"/>
        </w:rPr>
        <w:t>the Second Daily Balancing Settlement through 2022</w:t>
      </w:r>
      <w:r w:rsidR="00304F5A">
        <w:rPr>
          <w:rFonts w:ascii="Garamond" w:hAnsi="Garamond" w:cs="Calibri"/>
        </w:rPr>
        <w:t xml:space="preserve">. It also paved </w:t>
      </w:r>
      <w:r w:rsidR="00A47711" w:rsidRPr="00A47711">
        <w:rPr>
          <w:rFonts w:ascii="Garamond" w:hAnsi="Garamond" w:cs="Calibri"/>
        </w:rPr>
        <w:t>a pathway to implement Senate Bill 711</w:t>
      </w:r>
      <w:r w:rsidR="0004125F">
        <w:rPr>
          <w:rFonts w:ascii="Garamond" w:hAnsi="Garamond" w:cs="Calibri"/>
        </w:rPr>
        <w:t xml:space="preserve"> for new residential baseline seasons and allowances in order to reduce residential bill volatility</w:t>
      </w:r>
      <w:r w:rsidR="00A47711" w:rsidRPr="00A47711">
        <w:rPr>
          <w:rFonts w:ascii="Garamond" w:hAnsi="Garamond" w:cs="Calibri"/>
        </w:rPr>
        <w:t>.</w:t>
      </w:r>
      <w:r w:rsidR="00CD60DB" w:rsidRPr="00CD60DB">
        <w:t xml:space="preserve"> </w:t>
      </w:r>
    </w:p>
    <w:p w:rsidR="00785260" w:rsidRPr="009A4345" w:rsidRDefault="00785260" w:rsidP="009A4345">
      <w:pPr>
        <w:pBdr>
          <w:bottom w:val="dotted" w:sz="24" w:space="1" w:color="auto"/>
        </w:pBdr>
        <w:ind w:firstLine="0"/>
        <w:rPr>
          <w:rFonts w:ascii="Garamond" w:hAnsi="Garamond" w:cs="Calibri"/>
          <w:b/>
          <w:bCs/>
          <w:sz w:val="14"/>
          <w:szCs w:val="14"/>
        </w:rPr>
      </w:pPr>
    </w:p>
    <w:p w:rsidR="0027768E" w:rsidRPr="009A4345" w:rsidRDefault="0027768E" w:rsidP="0027768E">
      <w:pPr>
        <w:pStyle w:val="ListParagraph"/>
        <w:ind w:left="360" w:firstLine="0"/>
        <w:rPr>
          <w:rFonts w:ascii="Garamond" w:hAnsi="Garamond" w:cs="Calibri"/>
          <w:sz w:val="14"/>
          <w:szCs w:val="14"/>
          <w:u w:val="single"/>
        </w:rPr>
      </w:pPr>
    </w:p>
    <w:p w:rsidR="00764CCE" w:rsidRPr="00A24FB2" w:rsidRDefault="009C2E65" w:rsidP="00A24FB2">
      <w:pPr>
        <w:ind w:firstLine="0"/>
        <w:rPr>
          <w:rFonts w:ascii="Garamond" w:hAnsi="Garamond" w:cs="Calibri"/>
          <w:b/>
          <w:bCs/>
          <w:u w:val="single"/>
        </w:rPr>
      </w:pPr>
      <w:bookmarkStart w:id="2" w:name="_Hlk38358863"/>
      <w:r>
        <w:rPr>
          <w:rFonts w:ascii="Garamond" w:hAnsi="Garamond" w:cs="Calibri"/>
          <w:b/>
          <w:bCs/>
          <w:u w:val="single"/>
        </w:rPr>
        <w:t>E</w:t>
      </w:r>
      <w:r w:rsidR="005E4368">
        <w:rPr>
          <w:rFonts w:ascii="Garamond" w:hAnsi="Garamond" w:cs="Calibri"/>
          <w:b/>
          <w:bCs/>
          <w:u w:val="single"/>
        </w:rPr>
        <w:t xml:space="preserve">stimated 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residential bill impacts from </w:t>
      </w:r>
      <w:r w:rsidR="00E74DA5">
        <w:rPr>
          <w:rFonts w:ascii="Garamond" w:hAnsi="Garamond" w:cs="Calibri"/>
          <w:b/>
          <w:bCs/>
          <w:u w:val="single"/>
        </w:rPr>
        <w:t>the TCAP implementation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 effective </w:t>
      </w:r>
      <w:r w:rsidR="00260D99">
        <w:rPr>
          <w:rFonts w:ascii="Garamond" w:hAnsi="Garamond" w:cs="Calibri"/>
          <w:b/>
          <w:bCs/>
          <w:u w:val="single"/>
        </w:rPr>
        <w:t>May</w:t>
      </w:r>
      <w:r w:rsidR="00764CCE" w:rsidRPr="00A24FB2">
        <w:rPr>
          <w:rFonts w:ascii="Garamond" w:hAnsi="Garamond" w:cs="Calibri"/>
          <w:b/>
          <w:bCs/>
          <w:u w:val="single"/>
        </w:rPr>
        <w:t xml:space="preserve"> 1, 2020:</w:t>
      </w:r>
    </w:p>
    <w:p w:rsidR="00764CCE" w:rsidRPr="009C2E65" w:rsidRDefault="00764CCE" w:rsidP="009C2E65">
      <w:pPr>
        <w:ind w:firstLine="0"/>
        <w:rPr>
          <w:rFonts w:ascii="Garamond" w:hAnsi="Garamond" w:cs="Calibri"/>
          <w:sz w:val="16"/>
          <w:szCs w:val="16"/>
        </w:rPr>
      </w:pPr>
    </w:p>
    <w:bookmarkEnd w:id="2"/>
    <w:p w:rsidR="00764CCE" w:rsidRPr="009A4345" w:rsidRDefault="00764CCE" w:rsidP="00764CCE">
      <w:pPr>
        <w:pStyle w:val="ListParagraph"/>
        <w:rPr>
          <w:rFonts w:ascii="Garamond" w:hAnsi="Garamond" w:cs="Calibri"/>
          <w:sz w:val="14"/>
          <w:szCs w:val="14"/>
        </w:rPr>
      </w:pPr>
    </w:p>
    <w:tbl>
      <w:tblPr>
        <w:tblStyle w:val="GridTable5DarkAccent2"/>
        <w:tblW w:w="0" w:type="auto"/>
        <w:jc w:val="center"/>
        <w:tblLook w:val="04A0" w:firstRow="1" w:lastRow="0" w:firstColumn="1" w:lastColumn="0" w:noHBand="0" w:noVBand="1"/>
      </w:tblPr>
      <w:tblGrid>
        <w:gridCol w:w="5557"/>
        <w:gridCol w:w="1728"/>
        <w:gridCol w:w="1800"/>
      </w:tblGrid>
      <w:tr w:rsidR="00501AE2" w:rsidRPr="0027768E" w:rsidTr="002C1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</w:tcPr>
          <w:p w:rsidR="00764CCE" w:rsidRDefault="005E4368" w:rsidP="00764CCE">
            <w:pPr>
              <w:ind w:firstLine="0"/>
              <w:jc w:val="center"/>
              <w:rPr>
                <w:rFonts w:ascii="Garamond" w:hAnsi="Garamond" w:cs="Calibri"/>
                <w:b w:val="0"/>
                <w:bCs w:val="0"/>
              </w:rPr>
            </w:pPr>
            <w:bookmarkStart w:id="3" w:name="_Hlk38358468"/>
            <w:r>
              <w:rPr>
                <w:rFonts w:ascii="Garamond" w:hAnsi="Garamond" w:cs="Calibri"/>
              </w:rPr>
              <w:t xml:space="preserve">Estimated </w:t>
            </w:r>
            <w:r w:rsidR="00764CCE" w:rsidRPr="00DE00A6">
              <w:rPr>
                <w:rFonts w:ascii="Garamond" w:hAnsi="Garamond" w:cs="Calibri"/>
              </w:rPr>
              <w:t xml:space="preserve">Bill Impact – </w:t>
            </w:r>
            <w:r w:rsidR="00260D99">
              <w:rPr>
                <w:rFonts w:ascii="Garamond" w:hAnsi="Garamond" w:cs="Calibri"/>
              </w:rPr>
              <w:t>Cost Allocation</w:t>
            </w:r>
            <w:r w:rsidR="00764CCE" w:rsidRPr="00DE00A6">
              <w:rPr>
                <w:rFonts w:ascii="Garamond" w:hAnsi="Garamond" w:cs="Calibri"/>
              </w:rPr>
              <w:t xml:space="preserve"> </w:t>
            </w:r>
          </w:p>
          <w:p w:rsidR="00260D99" w:rsidRPr="00260D99" w:rsidRDefault="00260D99" w:rsidP="00764CCE">
            <w:pPr>
              <w:ind w:firstLine="0"/>
              <w:jc w:val="center"/>
              <w:rPr>
                <w:rFonts w:ascii="Garamond" w:hAnsi="Garamond" w:cs="Calibri"/>
              </w:rPr>
            </w:pPr>
            <w:r w:rsidRPr="00260D99">
              <w:rPr>
                <w:rFonts w:ascii="Garamond" w:hAnsi="Garamond" w:cs="Calibri"/>
              </w:rPr>
              <w:t>D.20-02-045</w:t>
            </w:r>
          </w:p>
        </w:tc>
        <w:tc>
          <w:tcPr>
            <w:tcW w:w="1728" w:type="dxa"/>
          </w:tcPr>
          <w:p w:rsidR="002C1FD7" w:rsidRDefault="00764CCE" w:rsidP="00764CC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</w:rPr>
              <w:t xml:space="preserve">SDG&amp;E </w:t>
            </w:r>
          </w:p>
          <w:p w:rsidR="00764CCE" w:rsidRPr="00DE00A6" w:rsidRDefault="00501AE2" w:rsidP="00764CC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May</w:t>
            </w:r>
            <w:r w:rsidR="00764CCE" w:rsidRPr="00DE00A6">
              <w:rPr>
                <w:rFonts w:ascii="Garamond" w:hAnsi="Garamond" w:cs="Calibri"/>
              </w:rPr>
              <w:t xml:space="preserve"> 1, 2020</w:t>
            </w:r>
          </w:p>
        </w:tc>
        <w:tc>
          <w:tcPr>
            <w:tcW w:w="1800" w:type="dxa"/>
          </w:tcPr>
          <w:p w:rsidR="002C1FD7" w:rsidRDefault="00764CCE" w:rsidP="00764CC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</w:rPr>
              <w:t xml:space="preserve">SoCalGas </w:t>
            </w:r>
          </w:p>
          <w:p w:rsidR="00764CCE" w:rsidRPr="00DE00A6" w:rsidRDefault="00501AE2" w:rsidP="00764CC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May</w:t>
            </w:r>
            <w:r w:rsidR="00764CCE" w:rsidRPr="00DE00A6">
              <w:rPr>
                <w:rFonts w:ascii="Garamond" w:hAnsi="Garamond" w:cs="Calibri"/>
              </w:rPr>
              <w:t xml:space="preserve"> 1, 2020</w:t>
            </w:r>
          </w:p>
        </w:tc>
      </w:tr>
      <w:tr w:rsidR="00501AE2" w:rsidRPr="0027768E" w:rsidTr="002C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:rsidR="00764CCE" w:rsidRPr="00DE00A6" w:rsidRDefault="00764CCE" w:rsidP="00232F13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non-CARE gas bill</w:t>
            </w:r>
          </w:p>
        </w:tc>
        <w:tc>
          <w:tcPr>
            <w:tcW w:w="1728" w:type="dxa"/>
            <w:vAlign w:val="center"/>
          </w:tcPr>
          <w:p w:rsidR="00764CCE" w:rsidRPr="00DE00A6" w:rsidRDefault="00764CCE" w:rsidP="00232F1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$4</w:t>
            </w:r>
            <w:r w:rsidR="00501AE2">
              <w:rPr>
                <w:rFonts w:ascii="Garamond" w:hAnsi="Garamond" w:cs="Calibri"/>
              </w:rPr>
              <w:t>5</w:t>
            </w:r>
            <w:r w:rsidRPr="00DE00A6">
              <w:rPr>
                <w:rFonts w:ascii="Garamond" w:hAnsi="Garamond" w:cs="Calibri"/>
              </w:rPr>
              <w:t>.</w:t>
            </w:r>
            <w:r w:rsidR="00501AE2">
              <w:rPr>
                <w:rFonts w:ascii="Garamond" w:hAnsi="Garamond" w:cs="Calibri"/>
              </w:rPr>
              <w:t>03</w:t>
            </w:r>
            <w:r w:rsidRPr="00DE00A6">
              <w:rPr>
                <w:rStyle w:val="FootnoteReference"/>
                <w:rFonts w:ascii="Garamond" w:hAnsi="Garamond" w:cs="Calibri"/>
              </w:rPr>
              <w:footnoteReference w:id="1"/>
            </w:r>
          </w:p>
        </w:tc>
        <w:tc>
          <w:tcPr>
            <w:tcW w:w="1800" w:type="dxa"/>
            <w:vAlign w:val="center"/>
          </w:tcPr>
          <w:p w:rsidR="00764CCE" w:rsidRPr="00DE00A6" w:rsidRDefault="00764CCE" w:rsidP="00232F1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501AE2">
              <w:rPr>
                <w:rFonts w:ascii="Garamond" w:hAnsi="Garamond" w:cs="Calibri"/>
              </w:rPr>
              <w:t>49</w:t>
            </w:r>
            <w:r w:rsidRPr="00DE00A6">
              <w:rPr>
                <w:rFonts w:ascii="Garamond" w:hAnsi="Garamond" w:cs="Calibri"/>
              </w:rPr>
              <w:t>.</w:t>
            </w:r>
            <w:r w:rsidR="00501AE2">
              <w:rPr>
                <w:rFonts w:ascii="Garamond" w:hAnsi="Garamond" w:cs="Calibri"/>
              </w:rPr>
              <w:t>11</w:t>
            </w:r>
            <w:r w:rsidRPr="00DE00A6">
              <w:rPr>
                <w:rStyle w:val="FootnoteReference"/>
                <w:rFonts w:ascii="Garamond" w:hAnsi="Garamond" w:cs="Calibri"/>
              </w:rPr>
              <w:footnoteReference w:id="2"/>
            </w:r>
          </w:p>
        </w:tc>
      </w:tr>
      <w:tr w:rsidR="00501AE2" w:rsidRPr="0027768E" w:rsidTr="002C1F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:rsidR="00764CCE" w:rsidRPr="00DE00A6" w:rsidRDefault="00764CCE" w:rsidP="00232F13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 xml:space="preserve">Average monthly residential non-CARE gas bill </w:t>
            </w:r>
            <w:r w:rsidR="00501AE2">
              <w:rPr>
                <w:rFonts w:ascii="Garamond" w:hAnsi="Garamond" w:cs="Calibri"/>
                <w:b w:val="0"/>
                <w:bCs w:val="0"/>
              </w:rPr>
              <w:t>increase/decrease</w:t>
            </w:r>
          </w:p>
        </w:tc>
        <w:tc>
          <w:tcPr>
            <w:tcW w:w="1728" w:type="dxa"/>
            <w:vAlign w:val="center"/>
          </w:tcPr>
          <w:p w:rsidR="00764CCE" w:rsidRPr="00DE00A6" w:rsidRDefault="00764CCE" w:rsidP="00232F1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501AE2">
              <w:rPr>
                <w:rFonts w:ascii="Garamond" w:hAnsi="Garamond" w:cs="Calibri"/>
              </w:rPr>
              <w:t>0.88</w:t>
            </w:r>
            <w:r w:rsidRPr="00DE00A6">
              <w:rPr>
                <w:rFonts w:ascii="Garamond" w:hAnsi="Garamond" w:cs="Calibri"/>
              </w:rPr>
              <w:t xml:space="preserve"> or 2</w:t>
            </w:r>
            <w:r w:rsidR="00501AE2">
              <w:rPr>
                <w:rFonts w:ascii="Garamond" w:hAnsi="Garamond" w:cs="Calibri"/>
              </w:rPr>
              <w:t>.0</w:t>
            </w:r>
            <w:r w:rsidRPr="00DE00A6">
              <w:rPr>
                <w:rFonts w:ascii="Garamond" w:hAnsi="Garamond" w:cs="Calibri"/>
              </w:rPr>
              <w:t>%</w:t>
            </w:r>
          </w:p>
        </w:tc>
        <w:tc>
          <w:tcPr>
            <w:tcW w:w="1800" w:type="dxa"/>
            <w:vAlign w:val="center"/>
          </w:tcPr>
          <w:p w:rsidR="00764CCE" w:rsidRPr="00DE00A6" w:rsidRDefault="00501AE2" w:rsidP="00232F1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501AE2">
              <w:rPr>
                <w:rFonts w:ascii="Garamond" w:hAnsi="Garamond" w:cs="Calibri"/>
                <w:color w:val="FF0000"/>
              </w:rPr>
              <w:t>(</w:t>
            </w:r>
            <w:r w:rsidR="00764CCE" w:rsidRPr="00501AE2">
              <w:rPr>
                <w:rFonts w:ascii="Garamond" w:hAnsi="Garamond" w:cs="Calibri"/>
                <w:color w:val="FF0000"/>
              </w:rPr>
              <w:t>$</w:t>
            </w:r>
            <w:r w:rsidRPr="00501AE2">
              <w:rPr>
                <w:rFonts w:ascii="Garamond" w:hAnsi="Garamond" w:cs="Calibri"/>
                <w:color w:val="FF0000"/>
              </w:rPr>
              <w:t>1.19)</w:t>
            </w:r>
            <w:r w:rsidR="00764CCE" w:rsidRPr="00501AE2">
              <w:rPr>
                <w:rFonts w:ascii="Garamond" w:hAnsi="Garamond" w:cs="Calibri"/>
                <w:color w:val="FF0000"/>
              </w:rPr>
              <w:t xml:space="preserve"> </w:t>
            </w:r>
            <w:r w:rsidR="00764CCE" w:rsidRPr="00DE00A6">
              <w:rPr>
                <w:rFonts w:ascii="Garamond" w:hAnsi="Garamond" w:cs="Calibri"/>
              </w:rPr>
              <w:t xml:space="preserve">or </w:t>
            </w:r>
            <w:r>
              <w:rPr>
                <w:rFonts w:ascii="Garamond" w:hAnsi="Garamond" w:cs="Calibri"/>
              </w:rPr>
              <w:t>-2.4%</w:t>
            </w:r>
          </w:p>
        </w:tc>
      </w:tr>
      <w:tr w:rsidR="00501AE2" w:rsidRPr="0027768E" w:rsidTr="002C1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:rsidR="00764CCE" w:rsidRPr="00DE00A6" w:rsidRDefault="00764CCE" w:rsidP="00232F13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CARE gas bill</w:t>
            </w:r>
          </w:p>
        </w:tc>
        <w:tc>
          <w:tcPr>
            <w:tcW w:w="1728" w:type="dxa"/>
            <w:vAlign w:val="center"/>
          </w:tcPr>
          <w:p w:rsidR="00764CCE" w:rsidRPr="00DE00A6" w:rsidRDefault="00764CCE" w:rsidP="00232F1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$30.</w:t>
            </w:r>
            <w:r w:rsidR="00501AE2">
              <w:rPr>
                <w:rFonts w:ascii="Garamond" w:hAnsi="Garamond" w:cs="Calibri"/>
              </w:rPr>
              <w:t>93</w:t>
            </w:r>
          </w:p>
        </w:tc>
        <w:tc>
          <w:tcPr>
            <w:tcW w:w="1800" w:type="dxa"/>
            <w:vAlign w:val="center"/>
          </w:tcPr>
          <w:p w:rsidR="00764CCE" w:rsidRPr="00DE00A6" w:rsidRDefault="00764CCE" w:rsidP="00232F1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$3</w:t>
            </w:r>
            <w:r w:rsidR="00501AE2">
              <w:rPr>
                <w:rFonts w:ascii="Garamond" w:hAnsi="Garamond" w:cs="Calibri"/>
              </w:rPr>
              <w:t>1.93</w:t>
            </w:r>
          </w:p>
        </w:tc>
      </w:tr>
      <w:tr w:rsidR="00501AE2" w:rsidRPr="0027768E" w:rsidTr="002C1F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vAlign w:val="center"/>
          </w:tcPr>
          <w:p w:rsidR="00764CCE" w:rsidRPr="00DE00A6" w:rsidRDefault="00764CCE" w:rsidP="00232F13">
            <w:pPr>
              <w:pStyle w:val="ListParagraph"/>
              <w:numPr>
                <w:ilvl w:val="0"/>
                <w:numId w:val="6"/>
              </w:numPr>
              <w:rPr>
                <w:rFonts w:ascii="Garamond" w:hAnsi="Garamond" w:cs="Calibri"/>
                <w:b w:val="0"/>
                <w:bCs w:val="0"/>
              </w:rPr>
            </w:pPr>
            <w:r w:rsidRPr="00DE00A6">
              <w:rPr>
                <w:rFonts w:ascii="Garamond" w:hAnsi="Garamond" w:cs="Calibri"/>
                <w:b w:val="0"/>
                <w:bCs w:val="0"/>
              </w:rPr>
              <w:t>Average monthly residential CARE gas bill increase</w:t>
            </w:r>
            <w:r w:rsidR="00501AE2">
              <w:rPr>
                <w:rFonts w:ascii="Garamond" w:hAnsi="Garamond" w:cs="Calibri"/>
                <w:b w:val="0"/>
                <w:bCs w:val="0"/>
              </w:rPr>
              <w:t>/decrease</w:t>
            </w:r>
          </w:p>
        </w:tc>
        <w:tc>
          <w:tcPr>
            <w:tcW w:w="1728" w:type="dxa"/>
            <w:vAlign w:val="center"/>
          </w:tcPr>
          <w:p w:rsidR="00764CCE" w:rsidRPr="00DE00A6" w:rsidRDefault="00764CCE" w:rsidP="00232F1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DE00A6">
              <w:rPr>
                <w:rFonts w:ascii="Garamond" w:hAnsi="Garamond" w:cs="Calibri"/>
              </w:rPr>
              <w:t>$</w:t>
            </w:r>
            <w:r w:rsidR="00501AE2">
              <w:rPr>
                <w:rFonts w:ascii="Garamond" w:hAnsi="Garamond" w:cs="Calibri"/>
              </w:rPr>
              <w:t>0.63</w:t>
            </w:r>
            <w:r w:rsidRPr="00DE00A6">
              <w:rPr>
                <w:rFonts w:ascii="Garamond" w:hAnsi="Garamond" w:cs="Calibri"/>
              </w:rPr>
              <w:t xml:space="preserve"> or </w:t>
            </w:r>
            <w:r w:rsidR="00501AE2">
              <w:rPr>
                <w:rFonts w:ascii="Garamond" w:hAnsi="Garamond" w:cs="Calibri"/>
              </w:rPr>
              <w:t>2.1</w:t>
            </w:r>
            <w:r w:rsidRPr="00DE00A6">
              <w:rPr>
                <w:rFonts w:ascii="Garamond" w:hAnsi="Garamond" w:cs="Calibri"/>
              </w:rPr>
              <w:t>%</w:t>
            </w:r>
          </w:p>
        </w:tc>
        <w:tc>
          <w:tcPr>
            <w:tcW w:w="1800" w:type="dxa"/>
            <w:vAlign w:val="center"/>
          </w:tcPr>
          <w:p w:rsidR="00764CCE" w:rsidRPr="00DE00A6" w:rsidRDefault="00501AE2" w:rsidP="00232F1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</w:rPr>
            </w:pPr>
            <w:r w:rsidRPr="00501AE2">
              <w:rPr>
                <w:rFonts w:ascii="Garamond" w:hAnsi="Garamond" w:cs="Calibri"/>
                <w:color w:val="FF0000"/>
              </w:rPr>
              <w:t>(</w:t>
            </w:r>
            <w:r w:rsidR="00764CCE" w:rsidRPr="00501AE2">
              <w:rPr>
                <w:rFonts w:ascii="Garamond" w:hAnsi="Garamond" w:cs="Calibri"/>
                <w:color w:val="FF0000"/>
              </w:rPr>
              <w:t>$</w:t>
            </w:r>
            <w:r w:rsidRPr="00501AE2">
              <w:rPr>
                <w:rFonts w:ascii="Garamond" w:hAnsi="Garamond" w:cs="Calibri"/>
                <w:color w:val="FF0000"/>
              </w:rPr>
              <w:t>0.81)</w:t>
            </w:r>
            <w:r w:rsidR="00764CCE" w:rsidRPr="00501AE2">
              <w:rPr>
                <w:rFonts w:ascii="Garamond" w:hAnsi="Garamond" w:cs="Calibri"/>
                <w:color w:val="FF0000"/>
              </w:rPr>
              <w:t xml:space="preserve"> </w:t>
            </w:r>
            <w:r w:rsidR="00764CCE" w:rsidRPr="00DE00A6">
              <w:rPr>
                <w:rFonts w:ascii="Garamond" w:hAnsi="Garamond" w:cs="Calibri"/>
              </w:rPr>
              <w:t xml:space="preserve">or </w:t>
            </w:r>
            <w:r>
              <w:rPr>
                <w:rFonts w:ascii="Garamond" w:hAnsi="Garamond" w:cs="Calibri"/>
              </w:rPr>
              <w:t>-2.5</w:t>
            </w:r>
            <w:r w:rsidR="00764CCE" w:rsidRPr="00DE00A6">
              <w:rPr>
                <w:rFonts w:ascii="Garamond" w:hAnsi="Garamond" w:cs="Calibri"/>
              </w:rPr>
              <w:t>%</w:t>
            </w:r>
          </w:p>
        </w:tc>
      </w:tr>
      <w:bookmarkEnd w:id="3"/>
    </w:tbl>
    <w:p w:rsidR="00BA11E4" w:rsidRPr="00BA11E4" w:rsidRDefault="00BA11E4" w:rsidP="00BA11E4">
      <w:pPr>
        <w:ind w:firstLine="0"/>
        <w:rPr>
          <w:rFonts w:ascii="Garamond" w:hAnsi="Garamond" w:cs="Calibri"/>
        </w:rPr>
      </w:pPr>
    </w:p>
    <w:p w:rsidR="009C2E65" w:rsidRDefault="00EE6014" w:rsidP="009C2E65">
      <w:pPr>
        <w:spacing w:after="240"/>
        <w:ind w:firstLine="0"/>
        <w:rPr>
          <w:rFonts w:ascii="Garamond" w:hAnsi="Garamond" w:cs="Calibri"/>
        </w:rPr>
      </w:pPr>
      <w:r w:rsidRPr="00475E36">
        <w:rPr>
          <w:rFonts w:ascii="Garamond" w:hAnsi="Garamond" w:cs="Calibri"/>
        </w:rPr>
        <w:t>D.20-02-045 adopts a new allocation of costs between the customer classes, as well as new billing determinants used to develop rates</w:t>
      </w:r>
      <w:r w:rsidR="00304F5A">
        <w:rPr>
          <w:rFonts w:ascii="Garamond" w:hAnsi="Garamond" w:cs="Calibri"/>
        </w:rPr>
        <w:t>.</w:t>
      </w:r>
      <w:r w:rsidR="00304F5A" w:rsidRPr="00475E36">
        <w:rPr>
          <w:rFonts w:ascii="Garamond" w:hAnsi="Garamond" w:cs="Calibri"/>
        </w:rPr>
        <w:t xml:space="preserve"> </w:t>
      </w:r>
      <w:r w:rsidR="00BA16DB" w:rsidRPr="00475E36">
        <w:rPr>
          <w:rFonts w:ascii="Garamond" w:hAnsi="Garamond" w:cs="Calibri"/>
        </w:rPr>
        <w:t xml:space="preserve">The nature of a cost allocation proceeding is that when some customer classes experience rate decreases, other customer classes will experience rate increases, all else being equal. </w:t>
      </w:r>
      <w:bookmarkStart w:id="4" w:name="_Hlk37939246"/>
      <w:r w:rsidR="009C2E65" w:rsidRPr="00EE6014">
        <w:rPr>
          <w:rFonts w:ascii="Garamond" w:hAnsi="Garamond" w:cs="Calibri"/>
        </w:rPr>
        <w:t>Below are the gas rate changes and highlights:</w:t>
      </w:r>
    </w:p>
    <w:p w:rsidR="009C2E65" w:rsidRPr="009C2E65" w:rsidRDefault="009C2E65" w:rsidP="009C2E65">
      <w:pPr>
        <w:pStyle w:val="ListParagraph"/>
        <w:numPr>
          <w:ilvl w:val="0"/>
          <w:numId w:val="27"/>
        </w:numPr>
        <w:rPr>
          <w:rFonts w:ascii="Garamond" w:hAnsi="Garamond" w:cs="Calibri"/>
          <w:b/>
          <w:bCs/>
        </w:rPr>
      </w:pPr>
      <w:r w:rsidRPr="009C2E65">
        <w:rPr>
          <w:rFonts w:ascii="Garamond" w:hAnsi="Garamond" w:cs="Calibri"/>
          <w:b/>
          <w:bCs/>
        </w:rPr>
        <w:t>SoCalGas</w:t>
      </w:r>
    </w:p>
    <w:p w:rsidR="00207A98" w:rsidRPr="00312C6C" w:rsidRDefault="00304F5A" w:rsidP="00312C6C">
      <w:pPr>
        <w:pStyle w:val="ListParagraph"/>
        <w:numPr>
          <w:ilvl w:val="0"/>
          <w:numId w:val="21"/>
        </w:numPr>
        <w:rPr>
          <w:rFonts w:ascii="Garamond" w:hAnsi="Garamond" w:cs="Calibri"/>
        </w:rPr>
      </w:pPr>
      <w:bookmarkStart w:id="5" w:name="_Hlk37939266"/>
      <w:bookmarkEnd w:id="4"/>
      <w:r>
        <w:rPr>
          <w:rFonts w:ascii="Garamond" w:hAnsi="Garamond" w:cs="Calibri"/>
        </w:rPr>
        <w:t>R</w:t>
      </w:r>
      <w:r w:rsidR="00207A98" w:rsidRPr="00312C6C">
        <w:rPr>
          <w:rFonts w:ascii="Garamond" w:hAnsi="Garamond" w:cs="Calibri"/>
        </w:rPr>
        <w:t>evenue decrease of $51.1 million for core customer class</w:t>
      </w:r>
      <w:r w:rsidR="00CD60DB" w:rsidRPr="00312C6C">
        <w:rPr>
          <w:rFonts w:ascii="Garamond" w:hAnsi="Garamond" w:cs="Calibri"/>
        </w:rPr>
        <w:t xml:space="preserve"> (residential, small commercial, and natural gas vehicle)</w:t>
      </w:r>
      <w:r w:rsidR="00207A98" w:rsidRPr="00312C6C">
        <w:rPr>
          <w:rFonts w:ascii="Garamond" w:hAnsi="Garamond" w:cs="Calibri"/>
        </w:rPr>
        <w:t xml:space="preserve"> and </w:t>
      </w:r>
      <w:r w:rsidR="00A93410" w:rsidRPr="00312C6C">
        <w:rPr>
          <w:rFonts w:ascii="Garamond" w:hAnsi="Garamond" w:cs="Calibri"/>
        </w:rPr>
        <w:t>revenue increase of $54.4 million for</w:t>
      </w:r>
      <w:r w:rsidR="006106AE" w:rsidRPr="00312C6C">
        <w:rPr>
          <w:rFonts w:ascii="Garamond" w:hAnsi="Garamond" w:cs="Calibri"/>
        </w:rPr>
        <w:t xml:space="preserve"> retail</w:t>
      </w:r>
      <w:r w:rsidR="00A93410" w:rsidRPr="00312C6C">
        <w:rPr>
          <w:rFonts w:ascii="Garamond" w:hAnsi="Garamond" w:cs="Calibri"/>
        </w:rPr>
        <w:t xml:space="preserve"> </w:t>
      </w:r>
      <w:r w:rsidR="00207A98" w:rsidRPr="00312C6C">
        <w:rPr>
          <w:rFonts w:ascii="Garamond" w:hAnsi="Garamond" w:cs="Calibri"/>
        </w:rPr>
        <w:t>non-core customer class</w:t>
      </w:r>
      <w:r w:rsidR="00CD60DB" w:rsidRPr="00312C6C">
        <w:rPr>
          <w:rFonts w:ascii="Garamond" w:hAnsi="Garamond" w:cs="Calibri"/>
        </w:rPr>
        <w:t xml:space="preserve"> (industrial, electric generation, and wholesale)</w:t>
      </w:r>
      <w:r w:rsidR="00207A98" w:rsidRPr="00312C6C">
        <w:rPr>
          <w:rFonts w:ascii="Garamond" w:hAnsi="Garamond" w:cs="Calibri"/>
        </w:rPr>
        <w:t>.</w:t>
      </w:r>
      <w:bookmarkEnd w:id="5"/>
    </w:p>
    <w:p w:rsidR="00207A98" w:rsidRDefault="00207A98" w:rsidP="00764CCE">
      <w:pPr>
        <w:ind w:firstLine="0"/>
        <w:rPr>
          <w:rFonts w:ascii="Garamond" w:hAnsi="Garamond" w:cs="Calibri"/>
        </w:rPr>
      </w:pPr>
    </w:p>
    <w:p w:rsidR="00EB01E7" w:rsidRPr="004D5309" w:rsidRDefault="00304F5A" w:rsidP="004D5309">
      <w:pPr>
        <w:pStyle w:val="ListParagraph"/>
        <w:numPr>
          <w:ilvl w:val="0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>C</w:t>
      </w:r>
      <w:r w:rsidR="005324E1" w:rsidRPr="004D5309">
        <w:rPr>
          <w:rFonts w:ascii="Garamond" w:hAnsi="Garamond" w:cs="Calibri"/>
        </w:rPr>
        <w:t xml:space="preserve">lass average </w:t>
      </w:r>
      <w:r w:rsidR="006B071B" w:rsidRPr="004D5309">
        <w:rPr>
          <w:rFonts w:ascii="Garamond" w:hAnsi="Garamond" w:cs="Calibri"/>
        </w:rPr>
        <w:t xml:space="preserve">gas transportation </w:t>
      </w:r>
      <w:r w:rsidR="005324E1" w:rsidRPr="004D5309">
        <w:rPr>
          <w:rFonts w:ascii="Garamond" w:hAnsi="Garamond" w:cs="Calibri"/>
        </w:rPr>
        <w:t>rate</w:t>
      </w:r>
      <w:r w:rsidR="006B071B" w:rsidRPr="004D5309">
        <w:rPr>
          <w:rFonts w:ascii="Garamond" w:hAnsi="Garamond" w:cs="Calibri"/>
        </w:rPr>
        <w:t>s</w:t>
      </w:r>
      <w:r w:rsidR="005324E1" w:rsidRPr="004D5309">
        <w:rPr>
          <w:rFonts w:ascii="Garamond" w:hAnsi="Garamond" w:cs="Calibri"/>
        </w:rPr>
        <w:t xml:space="preserve"> result in a decrease </w:t>
      </w:r>
      <w:r w:rsidR="006B071B" w:rsidRPr="004D5309">
        <w:rPr>
          <w:rFonts w:ascii="Garamond" w:hAnsi="Garamond" w:cs="Calibri"/>
        </w:rPr>
        <w:t>for</w:t>
      </w:r>
      <w:r w:rsidR="005324E1" w:rsidRPr="004D5309">
        <w:rPr>
          <w:rFonts w:ascii="Garamond" w:hAnsi="Garamond" w:cs="Calibri"/>
        </w:rPr>
        <w:t xml:space="preserve"> residential </w:t>
      </w:r>
      <w:r w:rsidR="006B071B" w:rsidRPr="004D5309">
        <w:rPr>
          <w:rFonts w:ascii="Garamond" w:hAnsi="Garamond" w:cs="Calibri"/>
        </w:rPr>
        <w:t>customers</w:t>
      </w:r>
      <w:r w:rsidR="005324E1" w:rsidRPr="004D5309">
        <w:rPr>
          <w:rFonts w:ascii="Garamond" w:hAnsi="Garamond" w:cs="Calibri"/>
        </w:rPr>
        <w:t xml:space="preserve"> and a decrease </w:t>
      </w:r>
      <w:r w:rsidR="006B071B" w:rsidRPr="004D5309">
        <w:rPr>
          <w:rFonts w:ascii="Garamond" w:hAnsi="Garamond" w:cs="Calibri"/>
        </w:rPr>
        <w:t>for</w:t>
      </w:r>
      <w:r w:rsidR="005324E1" w:rsidRPr="004D5309">
        <w:rPr>
          <w:rFonts w:ascii="Garamond" w:hAnsi="Garamond" w:cs="Calibri"/>
        </w:rPr>
        <w:t xml:space="preserve"> non-residential </w:t>
      </w:r>
      <w:r w:rsidR="006B071B" w:rsidRPr="004D5309">
        <w:rPr>
          <w:rFonts w:ascii="Garamond" w:hAnsi="Garamond" w:cs="Calibri"/>
        </w:rPr>
        <w:t>customers</w:t>
      </w:r>
      <w:r w:rsidR="005324E1" w:rsidRPr="004D5309">
        <w:rPr>
          <w:rFonts w:ascii="Garamond" w:hAnsi="Garamond" w:cs="Calibri"/>
        </w:rPr>
        <w:t>.</w:t>
      </w:r>
      <w:r w:rsidR="006B071B" w:rsidRPr="004D5309">
        <w:rPr>
          <w:rFonts w:ascii="Garamond" w:hAnsi="Garamond" w:cs="Calibri"/>
        </w:rPr>
        <w:t xml:space="preserve"> </w:t>
      </w:r>
      <w:bookmarkStart w:id="6" w:name="_Hlk37942802"/>
      <w:r w:rsidR="00EB01E7" w:rsidRPr="004D5309">
        <w:rPr>
          <w:rFonts w:ascii="Garamond" w:hAnsi="Garamond" w:cs="Calibri"/>
        </w:rPr>
        <w:t xml:space="preserve">The class average </w:t>
      </w:r>
      <w:r w:rsidR="003362B4">
        <w:rPr>
          <w:rFonts w:ascii="Garamond" w:hAnsi="Garamond" w:cs="Calibri"/>
        </w:rPr>
        <w:t xml:space="preserve">transportation </w:t>
      </w:r>
      <w:r w:rsidR="00EB01E7" w:rsidRPr="004D5309">
        <w:rPr>
          <w:rFonts w:ascii="Garamond" w:hAnsi="Garamond" w:cs="Calibri"/>
        </w:rPr>
        <w:t xml:space="preserve">rate impacts for </w:t>
      </w:r>
      <w:r w:rsidR="00906DB9" w:rsidRPr="004D5309">
        <w:rPr>
          <w:rFonts w:ascii="Garamond" w:hAnsi="Garamond" w:cs="Calibri"/>
        </w:rPr>
        <w:t xml:space="preserve">SoCalGas </w:t>
      </w:r>
      <w:r w:rsidR="00EB01E7" w:rsidRPr="004D5309">
        <w:rPr>
          <w:rFonts w:ascii="Garamond" w:hAnsi="Garamond" w:cs="Calibri"/>
        </w:rPr>
        <w:t>major customer classes resulting from the TCAP D. 20-02-045 are as follows:</w:t>
      </w:r>
    </w:p>
    <w:p w:rsidR="00EB01E7" w:rsidRPr="00EB01E7" w:rsidRDefault="00304F5A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1.6% rate decrease for </w:t>
      </w:r>
      <w:r w:rsidR="00EB01E7" w:rsidRPr="00EB01E7">
        <w:rPr>
          <w:rFonts w:ascii="Garamond" w:hAnsi="Garamond" w:cs="Calibri"/>
        </w:rPr>
        <w:t>Core residential rates</w:t>
      </w:r>
      <w:r w:rsidR="00215198">
        <w:rPr>
          <w:rFonts w:ascii="Garamond" w:hAnsi="Garamond" w:cs="Calibri"/>
        </w:rPr>
        <w:t>.</w:t>
      </w:r>
    </w:p>
    <w:p w:rsidR="0040561E" w:rsidRPr="00CD60DB" w:rsidRDefault="00CD60DB" w:rsidP="00CD60DB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bookmarkStart w:id="7" w:name="_Hlk38010825"/>
      <w:r>
        <w:rPr>
          <w:rFonts w:ascii="Garamond" w:hAnsi="Garamond" w:cs="Calibri"/>
        </w:rPr>
        <w:lastRenderedPageBreak/>
        <w:t xml:space="preserve">18.3% rate increase for </w:t>
      </w:r>
      <w:r w:rsidR="00EB01E7" w:rsidRPr="00EB01E7">
        <w:rPr>
          <w:rFonts w:ascii="Garamond" w:hAnsi="Garamond" w:cs="Calibri"/>
        </w:rPr>
        <w:t xml:space="preserve">Core </w:t>
      </w:r>
      <w:r w:rsidR="005324E1">
        <w:rPr>
          <w:rFonts w:ascii="Garamond" w:hAnsi="Garamond" w:cs="Calibri"/>
        </w:rPr>
        <w:t>C</w:t>
      </w:r>
      <w:r w:rsidR="00EB01E7" w:rsidRPr="00EB01E7">
        <w:rPr>
          <w:rFonts w:ascii="Garamond" w:hAnsi="Garamond" w:cs="Calibri"/>
        </w:rPr>
        <w:t xml:space="preserve">ommercial and </w:t>
      </w:r>
      <w:r w:rsidR="005324E1">
        <w:rPr>
          <w:rFonts w:ascii="Garamond" w:hAnsi="Garamond" w:cs="Calibri"/>
        </w:rPr>
        <w:t>I</w:t>
      </w:r>
      <w:r w:rsidR="00EB01E7" w:rsidRPr="00EB01E7">
        <w:rPr>
          <w:rFonts w:ascii="Garamond" w:hAnsi="Garamond" w:cs="Calibri"/>
        </w:rPr>
        <w:t>ndustrial (C&amp;I) customer class</w:t>
      </w:r>
      <w:r>
        <w:rPr>
          <w:rFonts w:ascii="Garamond" w:hAnsi="Garamond" w:cs="Calibri"/>
        </w:rPr>
        <w:t xml:space="preserve">. </w:t>
      </w:r>
      <w:r w:rsidRPr="0004125F">
        <w:rPr>
          <w:rFonts w:ascii="Garamond" w:hAnsi="Garamond" w:cs="Calibri"/>
          <w:b/>
          <w:bCs/>
        </w:rPr>
        <w:t>However, t</w:t>
      </w:r>
      <w:r w:rsidR="0040561E" w:rsidRPr="0004125F">
        <w:rPr>
          <w:rFonts w:ascii="Garamond" w:hAnsi="Garamond" w:cs="Calibri"/>
          <w:b/>
          <w:bCs/>
        </w:rPr>
        <w:t xml:space="preserve">he CPUC has deferred </w:t>
      </w:r>
      <w:r w:rsidR="00EB01E7" w:rsidRPr="0004125F">
        <w:rPr>
          <w:rFonts w:ascii="Garamond" w:hAnsi="Garamond" w:cs="Calibri"/>
          <w:b/>
          <w:bCs/>
        </w:rPr>
        <w:t>this rate increase</w:t>
      </w:r>
      <w:r w:rsidR="003362B4" w:rsidRPr="0004125F">
        <w:rPr>
          <w:rFonts w:ascii="Garamond" w:hAnsi="Garamond" w:cs="Calibri"/>
          <w:b/>
          <w:bCs/>
        </w:rPr>
        <w:t xml:space="preserve"> for 120 days,</w:t>
      </w:r>
      <w:r w:rsidR="0040561E" w:rsidRPr="0004125F">
        <w:rPr>
          <w:rFonts w:ascii="Garamond" w:hAnsi="Garamond" w:cs="Calibri"/>
          <w:b/>
          <w:bCs/>
        </w:rPr>
        <w:t xml:space="preserve"> </w:t>
      </w:r>
      <w:r w:rsidR="00EB01E7" w:rsidRPr="0004125F">
        <w:rPr>
          <w:rFonts w:ascii="Garamond" w:hAnsi="Garamond" w:cs="Calibri"/>
          <w:b/>
          <w:bCs/>
        </w:rPr>
        <w:t>until September 1, 2020</w:t>
      </w:r>
      <w:r w:rsidR="00FA7BC8" w:rsidRPr="0004125F">
        <w:rPr>
          <w:rStyle w:val="FootnoteReference"/>
          <w:rFonts w:ascii="Garamond" w:hAnsi="Garamond" w:cs="Calibri"/>
          <w:b/>
          <w:bCs/>
        </w:rPr>
        <w:footnoteReference w:id="3"/>
      </w:r>
      <w:r w:rsidR="0040561E" w:rsidRPr="0004125F">
        <w:rPr>
          <w:rFonts w:ascii="Garamond" w:hAnsi="Garamond" w:cs="Calibri"/>
          <w:b/>
          <w:bCs/>
        </w:rPr>
        <w:t xml:space="preserve"> in response to the COVID-19 Pandemic</w:t>
      </w:r>
      <w:r w:rsidRPr="0004125F">
        <w:rPr>
          <w:rFonts w:ascii="Garamond" w:hAnsi="Garamond" w:cs="Calibri"/>
          <w:b/>
          <w:bCs/>
        </w:rPr>
        <w:t xml:space="preserve"> to </w:t>
      </w:r>
      <w:r w:rsidR="00FA7BC8" w:rsidRPr="0004125F">
        <w:rPr>
          <w:rFonts w:ascii="Garamond" w:hAnsi="Garamond" w:cs="Calibri"/>
          <w:b/>
          <w:bCs/>
        </w:rPr>
        <w:t xml:space="preserve">provide some </w:t>
      </w:r>
      <w:r w:rsidRPr="0004125F">
        <w:rPr>
          <w:rFonts w:ascii="Garamond" w:hAnsi="Garamond" w:cs="Calibri"/>
          <w:b/>
          <w:bCs/>
        </w:rPr>
        <w:t xml:space="preserve">relief </w:t>
      </w:r>
      <w:r w:rsidR="00FA7BC8" w:rsidRPr="0004125F">
        <w:rPr>
          <w:rFonts w:ascii="Garamond" w:hAnsi="Garamond" w:cs="Calibri"/>
          <w:b/>
          <w:bCs/>
        </w:rPr>
        <w:t xml:space="preserve">to </w:t>
      </w:r>
      <w:r w:rsidR="001314AE">
        <w:rPr>
          <w:rFonts w:ascii="Garamond" w:hAnsi="Garamond" w:cs="Calibri"/>
          <w:b/>
          <w:bCs/>
        </w:rPr>
        <w:t xml:space="preserve">impacted </w:t>
      </w:r>
      <w:r w:rsidRPr="0004125F">
        <w:rPr>
          <w:rFonts w:ascii="Garamond" w:hAnsi="Garamond" w:cs="Calibri"/>
          <w:b/>
          <w:bCs/>
        </w:rPr>
        <w:t>small businesses.</w:t>
      </w:r>
      <w:r>
        <w:rPr>
          <w:rFonts w:ascii="Garamond" w:hAnsi="Garamond" w:cs="Calibri"/>
        </w:rPr>
        <w:t xml:space="preserve"> </w:t>
      </w:r>
    </w:p>
    <w:bookmarkEnd w:id="7"/>
    <w:p w:rsidR="00EB01E7" w:rsidRPr="00EB01E7" w:rsidRDefault="00FA7BC8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11.1% rate increase for </w:t>
      </w:r>
      <w:r w:rsidR="00EB01E7" w:rsidRPr="00EB01E7">
        <w:rPr>
          <w:rFonts w:ascii="Garamond" w:hAnsi="Garamond" w:cs="Calibri"/>
        </w:rPr>
        <w:t>Noncore C&amp;I distribution class</w:t>
      </w:r>
      <w:r w:rsidR="00215198">
        <w:rPr>
          <w:rFonts w:ascii="Garamond" w:hAnsi="Garamond" w:cs="Calibri"/>
        </w:rPr>
        <w:t>.</w:t>
      </w:r>
    </w:p>
    <w:p w:rsidR="00EB01E7" w:rsidRPr="00EB01E7" w:rsidRDefault="00FA7BC8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27.3% rate increase for </w:t>
      </w:r>
      <w:r w:rsidR="00EB01E7" w:rsidRPr="00EB01E7">
        <w:rPr>
          <w:rFonts w:ascii="Garamond" w:hAnsi="Garamond" w:cs="Calibri"/>
        </w:rPr>
        <w:t>Noncore C&amp;I Transmission Level Service class</w:t>
      </w:r>
      <w:r w:rsidR="00215198">
        <w:rPr>
          <w:rFonts w:ascii="Garamond" w:hAnsi="Garamond" w:cs="Calibri"/>
        </w:rPr>
        <w:t>.</w:t>
      </w:r>
    </w:p>
    <w:p w:rsidR="00EB01E7" w:rsidRPr="00EB01E7" w:rsidRDefault="00FA7BC8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7.1% distribution rate increase for </w:t>
      </w:r>
      <w:r w:rsidR="00EB01E7" w:rsidRPr="00EB01E7">
        <w:rPr>
          <w:rFonts w:ascii="Garamond" w:hAnsi="Garamond" w:cs="Calibri"/>
        </w:rPr>
        <w:t xml:space="preserve">Noncore Electric </w:t>
      </w:r>
      <w:r w:rsidR="005324E1" w:rsidRPr="00EB01E7">
        <w:rPr>
          <w:rFonts w:ascii="Garamond" w:hAnsi="Garamond" w:cs="Calibri"/>
        </w:rPr>
        <w:t>Generation</w:t>
      </w:r>
      <w:r w:rsidR="00EB01E7" w:rsidRPr="00EB01E7">
        <w:rPr>
          <w:rFonts w:ascii="Garamond" w:hAnsi="Garamond" w:cs="Calibri"/>
        </w:rPr>
        <w:t xml:space="preserve"> (EG)</w:t>
      </w:r>
      <w:r w:rsidR="00215198">
        <w:rPr>
          <w:rFonts w:ascii="Garamond" w:hAnsi="Garamond" w:cs="Calibri"/>
        </w:rPr>
        <w:t>.</w:t>
      </w:r>
    </w:p>
    <w:p w:rsidR="00EB01E7" w:rsidRPr="00EB01E7" w:rsidRDefault="00FA7BC8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35.40% increase for </w:t>
      </w:r>
      <w:r w:rsidR="00EB01E7" w:rsidRPr="00EB01E7">
        <w:rPr>
          <w:rFonts w:ascii="Garamond" w:hAnsi="Garamond" w:cs="Calibri"/>
        </w:rPr>
        <w:t xml:space="preserve">Noncore EG </w:t>
      </w:r>
      <w:r w:rsidR="005324E1" w:rsidRPr="00EB01E7">
        <w:rPr>
          <w:rFonts w:ascii="Garamond" w:hAnsi="Garamond" w:cs="Calibri"/>
        </w:rPr>
        <w:t>Trans</w:t>
      </w:r>
      <w:r w:rsidR="00563C75">
        <w:rPr>
          <w:rFonts w:ascii="Garamond" w:hAnsi="Garamond" w:cs="Calibri"/>
        </w:rPr>
        <w:t>mission</w:t>
      </w:r>
      <w:r w:rsidR="005324E1" w:rsidRPr="00EB01E7">
        <w:rPr>
          <w:rFonts w:ascii="Garamond" w:hAnsi="Garamond" w:cs="Calibri"/>
        </w:rPr>
        <w:t xml:space="preserve"> Level Service</w:t>
      </w:r>
      <w:r w:rsidR="00215198">
        <w:rPr>
          <w:rFonts w:ascii="Garamond" w:hAnsi="Garamond" w:cs="Calibri"/>
        </w:rPr>
        <w:t>.</w:t>
      </w:r>
    </w:p>
    <w:bookmarkEnd w:id="6"/>
    <w:p w:rsidR="00693AD1" w:rsidRDefault="00693AD1" w:rsidP="00207A98">
      <w:pPr>
        <w:rPr>
          <w:rFonts w:ascii="Garamond" w:hAnsi="Garamond" w:cs="Calibri"/>
        </w:rPr>
      </w:pPr>
    </w:p>
    <w:p w:rsidR="00207A98" w:rsidRPr="0004125F" w:rsidRDefault="006B071B" w:rsidP="0004125F">
      <w:pPr>
        <w:pStyle w:val="ListParagraph"/>
        <w:numPr>
          <w:ilvl w:val="0"/>
          <w:numId w:val="27"/>
        </w:numPr>
        <w:rPr>
          <w:rFonts w:ascii="Garamond" w:hAnsi="Garamond" w:cs="Calibri"/>
        </w:rPr>
      </w:pPr>
      <w:r w:rsidRPr="009C2E65">
        <w:rPr>
          <w:rFonts w:ascii="Garamond" w:hAnsi="Garamond" w:cs="Calibri"/>
          <w:b/>
          <w:bCs/>
        </w:rPr>
        <w:t>SDG&amp;E</w:t>
      </w:r>
    </w:p>
    <w:p w:rsidR="00906DB9" w:rsidRDefault="00A4650C" w:rsidP="00312C6C">
      <w:pPr>
        <w:pStyle w:val="ListParagraph"/>
        <w:numPr>
          <w:ilvl w:val="0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>R</w:t>
      </w:r>
      <w:r w:rsidR="006B071B" w:rsidRPr="00906DB9">
        <w:rPr>
          <w:rFonts w:ascii="Garamond" w:hAnsi="Garamond" w:cs="Calibri"/>
        </w:rPr>
        <w:t xml:space="preserve">evenue </w:t>
      </w:r>
      <w:r w:rsidR="00906DB9" w:rsidRPr="00906DB9">
        <w:rPr>
          <w:rFonts w:ascii="Garamond" w:hAnsi="Garamond" w:cs="Calibri"/>
        </w:rPr>
        <w:t>increase</w:t>
      </w:r>
      <w:r w:rsidR="006B071B" w:rsidRPr="00906DB9">
        <w:rPr>
          <w:rFonts w:ascii="Garamond" w:hAnsi="Garamond" w:cs="Calibri"/>
        </w:rPr>
        <w:t xml:space="preserve"> of $</w:t>
      </w:r>
      <w:r w:rsidR="00906DB9" w:rsidRPr="00906DB9">
        <w:rPr>
          <w:rFonts w:ascii="Garamond" w:hAnsi="Garamond" w:cs="Calibri"/>
        </w:rPr>
        <w:t>10.5</w:t>
      </w:r>
      <w:r w:rsidR="006B071B" w:rsidRPr="00906DB9">
        <w:rPr>
          <w:rFonts w:ascii="Garamond" w:hAnsi="Garamond" w:cs="Calibri"/>
        </w:rPr>
        <w:t xml:space="preserve"> million for core customer class and </w:t>
      </w:r>
      <w:r w:rsidR="00906DB9" w:rsidRPr="00906DB9">
        <w:rPr>
          <w:rFonts w:ascii="Garamond" w:hAnsi="Garamond" w:cs="Calibri"/>
        </w:rPr>
        <w:t xml:space="preserve">revenue decrease of $1.4 </w:t>
      </w:r>
      <w:r w:rsidR="00906DB9">
        <w:rPr>
          <w:rFonts w:ascii="Garamond" w:hAnsi="Garamond" w:cs="Calibri"/>
        </w:rPr>
        <w:t>for</w:t>
      </w:r>
      <w:r w:rsidR="006B071B" w:rsidRPr="00906DB9">
        <w:rPr>
          <w:rFonts w:ascii="Garamond" w:hAnsi="Garamond" w:cs="Calibri"/>
        </w:rPr>
        <w:t xml:space="preserve"> non-core customer class</w:t>
      </w:r>
      <w:r w:rsidR="00906DB9">
        <w:rPr>
          <w:rFonts w:ascii="Garamond" w:hAnsi="Garamond" w:cs="Calibri"/>
        </w:rPr>
        <w:t xml:space="preserve">. </w:t>
      </w:r>
    </w:p>
    <w:p w:rsidR="00312C6C" w:rsidRPr="003362B4" w:rsidRDefault="00EE6014" w:rsidP="003362B4">
      <w:pPr>
        <w:pStyle w:val="ListParagraph"/>
        <w:numPr>
          <w:ilvl w:val="0"/>
          <w:numId w:val="20"/>
        </w:numPr>
        <w:rPr>
          <w:rFonts w:ascii="Garamond" w:hAnsi="Garamond" w:cs="Calibri"/>
        </w:rPr>
      </w:pPr>
      <w:r w:rsidRPr="00EE6014">
        <w:rPr>
          <w:rFonts w:ascii="Garamond" w:hAnsi="Garamond" w:cs="Calibri"/>
        </w:rPr>
        <w:t>SDG&amp;E</w:t>
      </w:r>
      <w:r w:rsidR="00475E36">
        <w:rPr>
          <w:rFonts w:ascii="Garamond" w:hAnsi="Garamond" w:cs="Calibri"/>
        </w:rPr>
        <w:t>’s residential minimum charge will increase from $3 to</w:t>
      </w:r>
      <w:r w:rsidRPr="00EE6014">
        <w:rPr>
          <w:rFonts w:ascii="Garamond" w:hAnsi="Garamond" w:cs="Calibri"/>
        </w:rPr>
        <w:t xml:space="preserve"> $4</w:t>
      </w:r>
      <w:r w:rsidR="009C2E65">
        <w:rPr>
          <w:rFonts w:ascii="Garamond" w:hAnsi="Garamond" w:cs="Calibri"/>
        </w:rPr>
        <w:t xml:space="preserve"> </w:t>
      </w:r>
      <w:r w:rsidRPr="00EE6014">
        <w:rPr>
          <w:rFonts w:ascii="Garamond" w:hAnsi="Garamond" w:cs="Calibri"/>
        </w:rPr>
        <w:t>per month per customer.</w:t>
      </w:r>
      <w:r w:rsidR="009C2E65">
        <w:rPr>
          <w:rStyle w:val="FootnoteReference"/>
          <w:rFonts w:ascii="Garamond" w:hAnsi="Garamond" w:cs="Calibri"/>
        </w:rPr>
        <w:footnoteReference w:id="4"/>
      </w:r>
      <w:r w:rsidR="009C2E65" w:rsidRPr="00EE6014">
        <w:rPr>
          <w:rFonts w:ascii="Garamond" w:hAnsi="Garamond" w:cs="Calibri"/>
        </w:rPr>
        <w:t xml:space="preserve"> </w:t>
      </w:r>
      <w:r w:rsidRPr="00EE6014">
        <w:rPr>
          <w:rFonts w:ascii="Garamond" w:hAnsi="Garamond" w:cs="Calibri"/>
        </w:rPr>
        <w:t>SDG&amp;E</w:t>
      </w:r>
      <w:r w:rsidR="00475E36">
        <w:rPr>
          <w:rFonts w:ascii="Garamond" w:hAnsi="Garamond" w:cs="Calibri"/>
        </w:rPr>
        <w:t xml:space="preserve">’s </w:t>
      </w:r>
      <w:r w:rsidR="00475E36" w:rsidRPr="00EE6014">
        <w:rPr>
          <w:rFonts w:ascii="Garamond" w:hAnsi="Garamond" w:cs="Calibri"/>
        </w:rPr>
        <w:t>California Alternate Rates for Energy</w:t>
      </w:r>
      <w:r w:rsidR="00475E36">
        <w:rPr>
          <w:rFonts w:ascii="Garamond" w:hAnsi="Garamond" w:cs="Calibri"/>
        </w:rPr>
        <w:t xml:space="preserve"> (CARE) residential minimum charge will increase from </w:t>
      </w:r>
      <w:r w:rsidR="003362B4">
        <w:rPr>
          <w:rFonts w:ascii="Garamond" w:hAnsi="Garamond" w:cs="Calibri"/>
        </w:rPr>
        <w:t xml:space="preserve">$2.40 to </w:t>
      </w:r>
      <w:r w:rsidRPr="00EE6014">
        <w:rPr>
          <w:rFonts w:ascii="Garamond" w:hAnsi="Garamond" w:cs="Calibri"/>
        </w:rPr>
        <w:t>$3.20 per month per customer.</w:t>
      </w:r>
    </w:p>
    <w:p w:rsidR="00906DB9" w:rsidRPr="004D5309" w:rsidRDefault="00A4650C" w:rsidP="004D5309">
      <w:pPr>
        <w:pStyle w:val="ListParagraph"/>
        <w:numPr>
          <w:ilvl w:val="0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>C</w:t>
      </w:r>
      <w:r w:rsidR="00906DB9" w:rsidRPr="004D5309">
        <w:rPr>
          <w:rFonts w:ascii="Garamond" w:hAnsi="Garamond" w:cs="Calibri"/>
        </w:rPr>
        <w:t xml:space="preserve">lass average </w:t>
      </w:r>
      <w:r w:rsidR="003362B4">
        <w:rPr>
          <w:rFonts w:ascii="Garamond" w:hAnsi="Garamond" w:cs="Calibri"/>
        </w:rPr>
        <w:t xml:space="preserve">transportation </w:t>
      </w:r>
      <w:r w:rsidR="00906DB9" w:rsidRPr="004D5309">
        <w:rPr>
          <w:rFonts w:ascii="Garamond" w:hAnsi="Garamond" w:cs="Calibri"/>
        </w:rPr>
        <w:t>rate impacts for the major SDG&amp;E customer classes are as follows:</w:t>
      </w:r>
    </w:p>
    <w:p w:rsidR="00906DB9" w:rsidRPr="00EB01E7" w:rsidRDefault="00A4650C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0.1% rate decrease for </w:t>
      </w:r>
      <w:r w:rsidR="00906DB9" w:rsidRPr="00EB01E7">
        <w:rPr>
          <w:rFonts w:ascii="Garamond" w:hAnsi="Garamond" w:cs="Calibri"/>
        </w:rPr>
        <w:t>Core residential</w:t>
      </w:r>
      <w:r w:rsidR="00215198">
        <w:rPr>
          <w:rFonts w:ascii="Garamond" w:hAnsi="Garamond" w:cs="Calibri"/>
        </w:rPr>
        <w:t>.</w:t>
      </w:r>
    </w:p>
    <w:p w:rsidR="00CD60DB" w:rsidRPr="00CD60DB" w:rsidRDefault="00CD60DB" w:rsidP="00CD60DB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>13</w:t>
      </w:r>
      <w:r w:rsidRPr="00CD60DB">
        <w:rPr>
          <w:rFonts w:ascii="Garamond" w:hAnsi="Garamond" w:cs="Calibri"/>
        </w:rPr>
        <w:t xml:space="preserve">.3% rate increase for Core Commercial and Industrial (C&amp;I) customer class. </w:t>
      </w:r>
      <w:r w:rsidRPr="0004125F">
        <w:rPr>
          <w:rFonts w:ascii="Garamond" w:hAnsi="Garamond" w:cs="Calibri"/>
          <w:b/>
          <w:bCs/>
        </w:rPr>
        <w:t xml:space="preserve">However, the CPUC has deferred this rate increase </w:t>
      </w:r>
      <w:r w:rsidR="003362B4" w:rsidRPr="0004125F">
        <w:rPr>
          <w:rFonts w:ascii="Garamond" w:hAnsi="Garamond" w:cs="Calibri"/>
          <w:b/>
          <w:bCs/>
        </w:rPr>
        <w:t xml:space="preserve">for 120 days, </w:t>
      </w:r>
      <w:r w:rsidRPr="0004125F">
        <w:rPr>
          <w:rFonts w:ascii="Garamond" w:hAnsi="Garamond" w:cs="Calibri"/>
          <w:b/>
          <w:bCs/>
        </w:rPr>
        <w:t>until September 1, 2020</w:t>
      </w:r>
      <w:r w:rsidR="00A4650C" w:rsidRPr="0004125F">
        <w:rPr>
          <w:rStyle w:val="FootnoteReference"/>
          <w:rFonts w:ascii="Garamond" w:hAnsi="Garamond" w:cs="Calibri"/>
          <w:b/>
          <w:bCs/>
        </w:rPr>
        <w:footnoteReference w:id="5"/>
      </w:r>
      <w:r w:rsidRPr="0004125F">
        <w:rPr>
          <w:rFonts w:ascii="Garamond" w:hAnsi="Garamond" w:cs="Calibri"/>
          <w:b/>
          <w:bCs/>
        </w:rPr>
        <w:t xml:space="preserve"> in response to the COVID-19 Pandemic to </w:t>
      </w:r>
      <w:r w:rsidR="001314AE">
        <w:rPr>
          <w:rFonts w:ascii="Garamond" w:hAnsi="Garamond" w:cs="Calibri"/>
          <w:b/>
          <w:bCs/>
        </w:rPr>
        <w:t xml:space="preserve">provide some </w:t>
      </w:r>
      <w:r w:rsidRPr="0004125F">
        <w:rPr>
          <w:rFonts w:ascii="Garamond" w:hAnsi="Garamond" w:cs="Calibri"/>
          <w:b/>
          <w:bCs/>
        </w:rPr>
        <w:t xml:space="preserve">relief </w:t>
      </w:r>
      <w:r w:rsidR="001314AE">
        <w:rPr>
          <w:rFonts w:ascii="Garamond" w:hAnsi="Garamond" w:cs="Calibri"/>
          <w:b/>
          <w:bCs/>
        </w:rPr>
        <w:t xml:space="preserve">to impacted </w:t>
      </w:r>
      <w:r w:rsidRPr="0004125F">
        <w:rPr>
          <w:rFonts w:ascii="Garamond" w:hAnsi="Garamond" w:cs="Calibri"/>
          <w:b/>
          <w:bCs/>
        </w:rPr>
        <w:t>small businesses.</w:t>
      </w:r>
      <w:r w:rsidRPr="00CD60DB">
        <w:rPr>
          <w:rFonts w:ascii="Garamond" w:hAnsi="Garamond" w:cs="Calibri"/>
        </w:rPr>
        <w:t xml:space="preserve"> </w:t>
      </w:r>
    </w:p>
    <w:p w:rsidR="00906DB9" w:rsidRPr="00EB01E7" w:rsidRDefault="000B4491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9.6% rate decrease for </w:t>
      </w:r>
      <w:r w:rsidR="00906DB9" w:rsidRPr="00EB01E7">
        <w:rPr>
          <w:rFonts w:ascii="Garamond" w:hAnsi="Garamond" w:cs="Calibri"/>
        </w:rPr>
        <w:t>Noncore C&amp;I distribution class</w:t>
      </w:r>
      <w:r w:rsidR="00215198">
        <w:rPr>
          <w:rFonts w:ascii="Garamond" w:hAnsi="Garamond" w:cs="Calibri"/>
        </w:rPr>
        <w:t>.</w:t>
      </w:r>
    </w:p>
    <w:p w:rsidR="00906DB9" w:rsidRPr="00EB01E7" w:rsidRDefault="000B4491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21.6% rate increase for </w:t>
      </w:r>
      <w:r w:rsidR="00906DB9" w:rsidRPr="00EB01E7">
        <w:rPr>
          <w:rFonts w:ascii="Garamond" w:hAnsi="Garamond" w:cs="Calibri"/>
        </w:rPr>
        <w:t>Noncore C&amp;I Transmission Level Service class</w:t>
      </w:r>
      <w:r w:rsidR="00215198">
        <w:rPr>
          <w:rFonts w:ascii="Garamond" w:hAnsi="Garamond" w:cs="Calibri"/>
        </w:rPr>
        <w:t>.</w:t>
      </w:r>
    </w:p>
    <w:p w:rsidR="00906DB9" w:rsidRPr="00EB01E7" w:rsidRDefault="000B4491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22.8% distribution rate increase for </w:t>
      </w:r>
      <w:r w:rsidR="00906DB9" w:rsidRPr="00EB01E7">
        <w:rPr>
          <w:rFonts w:ascii="Garamond" w:hAnsi="Garamond" w:cs="Calibri"/>
        </w:rPr>
        <w:t>Noncore Electric Generation (EG)</w:t>
      </w:r>
      <w:r w:rsidR="00215198">
        <w:rPr>
          <w:rFonts w:ascii="Garamond" w:hAnsi="Garamond" w:cs="Calibri"/>
        </w:rPr>
        <w:t>.</w:t>
      </w:r>
    </w:p>
    <w:p w:rsidR="00906DB9" w:rsidRPr="00EB01E7" w:rsidRDefault="000B4491" w:rsidP="004D5309">
      <w:pPr>
        <w:pStyle w:val="ListParagraph"/>
        <w:numPr>
          <w:ilvl w:val="1"/>
          <w:numId w:val="20"/>
        </w:numPr>
        <w:rPr>
          <w:rFonts w:ascii="Garamond" w:hAnsi="Garamond" w:cs="Calibri"/>
        </w:rPr>
      </w:pPr>
      <w:r>
        <w:rPr>
          <w:rFonts w:ascii="Garamond" w:hAnsi="Garamond" w:cs="Calibri"/>
        </w:rPr>
        <w:t xml:space="preserve">27.8% rate increase for </w:t>
      </w:r>
      <w:r w:rsidR="00906DB9" w:rsidRPr="00EB01E7">
        <w:rPr>
          <w:rFonts w:ascii="Garamond" w:hAnsi="Garamond" w:cs="Calibri"/>
        </w:rPr>
        <w:t>Noncore EG Trans</w:t>
      </w:r>
      <w:r w:rsidR="00563C75">
        <w:rPr>
          <w:rFonts w:ascii="Garamond" w:hAnsi="Garamond" w:cs="Calibri"/>
        </w:rPr>
        <w:t>mission</w:t>
      </w:r>
      <w:r w:rsidR="00906DB9" w:rsidRPr="00EB01E7">
        <w:rPr>
          <w:rFonts w:ascii="Garamond" w:hAnsi="Garamond" w:cs="Calibri"/>
        </w:rPr>
        <w:t xml:space="preserve"> Level Service</w:t>
      </w:r>
      <w:r w:rsidR="00215198">
        <w:rPr>
          <w:rFonts w:ascii="Garamond" w:hAnsi="Garamond" w:cs="Calibri"/>
        </w:rPr>
        <w:t>.</w:t>
      </w:r>
    </w:p>
    <w:p w:rsidR="00906DB9" w:rsidRDefault="00906DB9" w:rsidP="00764CCE">
      <w:pPr>
        <w:ind w:firstLine="0"/>
        <w:rPr>
          <w:rFonts w:ascii="Garamond" w:hAnsi="Garamond" w:cs="Calibri"/>
        </w:rPr>
      </w:pPr>
    </w:p>
    <w:p w:rsidR="00906DB9" w:rsidRDefault="00906DB9" w:rsidP="00764CCE">
      <w:pPr>
        <w:ind w:firstLine="0"/>
        <w:rPr>
          <w:rFonts w:ascii="Garamond" w:hAnsi="Garamond" w:cs="Calibri"/>
        </w:rPr>
      </w:pPr>
    </w:p>
    <w:p w:rsidR="00906DB9" w:rsidRDefault="00906DB9" w:rsidP="00764CCE">
      <w:pPr>
        <w:ind w:firstLine="0"/>
        <w:rPr>
          <w:rFonts w:ascii="Garamond" w:hAnsi="Garamond" w:cs="Calibri"/>
        </w:rPr>
      </w:pPr>
    </w:p>
    <w:p w:rsidR="00906DB9" w:rsidRPr="00D64A9A" w:rsidRDefault="00906DB9" w:rsidP="00764CCE">
      <w:pPr>
        <w:ind w:firstLine="0"/>
        <w:rPr>
          <w:rFonts w:ascii="Garamond" w:hAnsi="Garamond" w:cs="Calibri"/>
        </w:rPr>
      </w:pPr>
    </w:p>
    <w:sectPr w:rsidR="00906DB9" w:rsidRPr="00D64A9A" w:rsidSect="005179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98" w:rsidRDefault="00865598">
      <w:r>
        <w:separator/>
      </w:r>
    </w:p>
    <w:p w:rsidR="00865598" w:rsidRDefault="00865598"/>
  </w:endnote>
  <w:endnote w:type="continuationSeparator" w:id="0">
    <w:p w:rsidR="00865598" w:rsidRDefault="00865598">
      <w:r>
        <w:continuationSeparator/>
      </w:r>
    </w:p>
    <w:p w:rsidR="00865598" w:rsidRDefault="00865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42FDB" w:rsidRDefault="00A42FDB" w:rsidP="00AA5D1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F7763B">
          <w:rPr>
            <w:rFonts w:ascii="Garamond" w:hAnsi="Garamond"/>
            <w:noProof/>
          </w:rPr>
          <w:t>2</w:t>
        </w:r>
        <w:r w:rsidRPr="00D31094">
          <w:rPr>
            <w:rFonts w:ascii="Garamond" w:hAnsi="Garamond"/>
            <w:noProof/>
          </w:rPr>
          <w:fldChar w:fldCharType="end"/>
        </w:r>
      </w:p>
    </w:sdtContent>
  </w:sdt>
  <w:p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>Rate Increase Advisory</w:t>
        </w:r>
        <w:r w:rsidRPr="00D31094">
          <w:rPr>
            <w:rFonts w:ascii="Garamond" w:hAnsi="Garamond"/>
          </w:rPr>
          <w:t xml:space="preserve"> | </w:t>
        </w:r>
        <w:r w:rsidRPr="00D31094">
          <w:rPr>
            <w:rFonts w:ascii="Garamond" w:hAnsi="Garamond"/>
          </w:rPr>
          <w:fldChar w:fldCharType="begin"/>
        </w:r>
        <w:r w:rsidRPr="00D31094">
          <w:rPr>
            <w:rFonts w:ascii="Garamond" w:hAnsi="Garamond"/>
          </w:rPr>
          <w:instrText xml:space="preserve"> PAGE   \* MERGEFORMAT </w:instrText>
        </w:r>
        <w:r w:rsidRPr="00D31094">
          <w:rPr>
            <w:rFonts w:ascii="Garamond" w:hAnsi="Garamond"/>
          </w:rPr>
          <w:fldChar w:fldCharType="separate"/>
        </w:r>
        <w:r w:rsidR="00F7763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  <w:noProof/>
          </w:rPr>
          <w:fldChar w:fldCharType="end"/>
        </w:r>
        <w:r w:rsidRPr="00D31094">
          <w:rPr>
            <w:rFonts w:ascii="Garamond" w:hAnsi="Garamond"/>
          </w:rPr>
          <w:t xml:space="preserve"> </w:t>
        </w:r>
      </w:p>
    </w:sdtContent>
  </w:sdt>
  <w:p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98" w:rsidRDefault="00865598">
      <w:r>
        <w:separator/>
      </w:r>
    </w:p>
    <w:p w:rsidR="00865598" w:rsidRDefault="00865598"/>
  </w:footnote>
  <w:footnote w:type="continuationSeparator" w:id="0">
    <w:p w:rsidR="00865598" w:rsidRDefault="00865598">
      <w:r>
        <w:continuationSeparator/>
      </w:r>
    </w:p>
    <w:p w:rsidR="00865598" w:rsidRDefault="00865598"/>
  </w:footnote>
  <w:footnote w:id="1">
    <w:p w:rsidR="00A42FDB" w:rsidRPr="00375A37" w:rsidRDefault="00A42FDB" w:rsidP="00764CCE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Bill impacts based on 24 therms in a month.</w:t>
      </w:r>
    </w:p>
  </w:footnote>
  <w:footnote w:id="2">
    <w:p w:rsidR="00A42FDB" w:rsidRPr="00375A37" w:rsidRDefault="00A42FDB" w:rsidP="00764CCE">
      <w:pPr>
        <w:pStyle w:val="FootnoteText"/>
        <w:rPr>
          <w:rFonts w:ascii="Garamond" w:hAnsi="Garamond"/>
          <w:sz w:val="22"/>
          <w:szCs w:val="22"/>
        </w:rPr>
      </w:pPr>
      <w:r w:rsidRPr="00375A37">
        <w:rPr>
          <w:rStyle w:val="FootnoteReference"/>
          <w:rFonts w:ascii="Garamond" w:hAnsi="Garamond"/>
          <w:sz w:val="22"/>
          <w:szCs w:val="22"/>
        </w:rPr>
        <w:footnoteRef/>
      </w:r>
      <w:r w:rsidRPr="00375A37">
        <w:rPr>
          <w:rFonts w:ascii="Garamond" w:hAnsi="Garamond"/>
          <w:sz w:val="22"/>
          <w:szCs w:val="22"/>
        </w:rPr>
        <w:t xml:space="preserve"> Bill impacts based on 35 therms in a month.</w:t>
      </w:r>
    </w:p>
  </w:footnote>
  <w:footnote w:id="3">
    <w:p w:rsidR="00FA7BC8" w:rsidRDefault="00FA7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4650C" w:rsidRPr="001A70F5">
        <w:rPr>
          <w:rFonts w:ascii="Garamond" w:hAnsi="Garamond"/>
        </w:rPr>
        <w:t>Per l</w:t>
      </w:r>
      <w:r w:rsidRPr="001A70F5">
        <w:rPr>
          <w:rFonts w:ascii="Garamond" w:hAnsi="Garamond"/>
        </w:rPr>
        <w:t>etter from Alice Stebbins to SoCalGas dated April 20, 2022, in response to the utilit</w:t>
      </w:r>
      <w:r w:rsidR="00642529" w:rsidRPr="001A70F5">
        <w:rPr>
          <w:rFonts w:ascii="Garamond" w:hAnsi="Garamond"/>
        </w:rPr>
        <w:t>y’</w:t>
      </w:r>
      <w:r w:rsidRPr="001A70F5">
        <w:rPr>
          <w:rFonts w:ascii="Garamond" w:hAnsi="Garamond"/>
        </w:rPr>
        <w:t>s Request for Extension of Time to Comply with Ordering Paragraphs 10 and 23 of Decision 20-02-045 (Application 18-07-024).</w:t>
      </w:r>
    </w:p>
  </w:footnote>
  <w:footnote w:id="4">
    <w:p w:rsidR="009C2E65" w:rsidRPr="003362B4" w:rsidRDefault="009C2E65" w:rsidP="002E4099">
      <w:pPr>
        <w:pStyle w:val="FootnoteText"/>
        <w:ind w:left="360" w:firstLine="0"/>
        <w:rPr>
          <w:rFonts w:ascii="Garamond" w:hAnsi="Garamond"/>
        </w:rPr>
      </w:pPr>
      <w:r w:rsidRPr="003362B4">
        <w:rPr>
          <w:rStyle w:val="FootnoteReference"/>
          <w:rFonts w:ascii="Garamond" w:hAnsi="Garamond"/>
        </w:rPr>
        <w:footnoteRef/>
      </w:r>
      <w:r w:rsidRPr="003362B4">
        <w:rPr>
          <w:rFonts w:ascii="Garamond" w:hAnsi="Garamond"/>
        </w:rPr>
        <w:t xml:space="preserve"> $4 per month * 12 months / 365 days = $0.13151 per day</w:t>
      </w:r>
      <w:r>
        <w:rPr>
          <w:rFonts w:ascii="Garamond" w:hAnsi="Garamond"/>
        </w:rPr>
        <w:t xml:space="preserve">. </w:t>
      </w:r>
      <w:r w:rsidRPr="006B6F75">
        <w:rPr>
          <w:rFonts w:ascii="Garamond" w:hAnsi="Garamond"/>
        </w:rPr>
        <w:t>If the customer’s calculated gas bill based on the volume of gas used, comprising cost of gas, gas transportation cost and public purpose program surcharge, exceeds $</w:t>
      </w:r>
      <w:r>
        <w:rPr>
          <w:rFonts w:ascii="Garamond" w:hAnsi="Garamond"/>
        </w:rPr>
        <w:t xml:space="preserve">4 </w:t>
      </w:r>
      <w:r w:rsidRPr="006B6F75">
        <w:rPr>
          <w:rFonts w:ascii="Garamond" w:hAnsi="Garamond"/>
        </w:rPr>
        <w:t>per month, then the $</w:t>
      </w:r>
      <w:r>
        <w:rPr>
          <w:rFonts w:ascii="Garamond" w:hAnsi="Garamond"/>
        </w:rPr>
        <w:t>4</w:t>
      </w:r>
      <w:r w:rsidRPr="006B6F75">
        <w:rPr>
          <w:rFonts w:ascii="Garamond" w:hAnsi="Garamond"/>
        </w:rPr>
        <w:t xml:space="preserve"> minimum bill no longer applies, and the customer pays the calculated bill.  Under minimum bill, a customer pays either the $</w:t>
      </w:r>
      <w:r>
        <w:rPr>
          <w:rFonts w:ascii="Garamond" w:hAnsi="Garamond"/>
        </w:rPr>
        <w:t>4</w:t>
      </w:r>
      <w:r w:rsidRPr="006B6F75">
        <w:rPr>
          <w:rFonts w:ascii="Garamond" w:hAnsi="Garamond"/>
        </w:rPr>
        <w:t xml:space="preserve"> or the calculated bill whichever is higher.</w:t>
      </w:r>
      <w:r>
        <w:rPr>
          <w:rFonts w:ascii="Garamond" w:hAnsi="Garamond"/>
        </w:rPr>
        <w:t xml:space="preserve"> </w:t>
      </w:r>
    </w:p>
  </w:footnote>
  <w:footnote w:id="5">
    <w:p w:rsidR="00A4650C" w:rsidRDefault="00A465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70F5">
        <w:rPr>
          <w:rFonts w:ascii="Garamond" w:hAnsi="Garamond"/>
        </w:rPr>
        <w:t>Per letter from Alice Stebbins to SDG&amp;E dated April 20, 2022, in response to the utility</w:t>
      </w:r>
      <w:r w:rsidR="00642529" w:rsidRPr="001A70F5">
        <w:rPr>
          <w:rFonts w:ascii="Garamond" w:hAnsi="Garamond"/>
        </w:rPr>
        <w:t>’</w:t>
      </w:r>
      <w:r w:rsidRPr="001A70F5">
        <w:rPr>
          <w:rFonts w:ascii="Garamond" w:hAnsi="Garamond"/>
        </w:rPr>
        <w:t>s Request for Extension of Time to Comply with Ordering Paragraphs 10 and 23 of Decision 20-02-045 (Application 18-07-024).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D1" w:rsidRDefault="00ED52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 w:rsidP="002C361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D76BF3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May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6718D6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084FF1" wp14:editId="03A02A95">
                <wp:simplePos x="0" y="0"/>
                <wp:positionH relativeFrom="column">
                  <wp:posOffset>332740</wp:posOffset>
                </wp:positionH>
                <wp:positionV relativeFrom="paragraph">
                  <wp:posOffset>148590</wp:posOffset>
                </wp:positionV>
                <wp:extent cx="715645" cy="758190"/>
                <wp:effectExtent l="0" t="0" r="8255" b="381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645" cy="758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Pr="005179CC" w:rsidRDefault="00A42FDB" w:rsidP="005179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:rsidR="00A42FDB" w:rsidRPr="002C361D" w:rsidRDefault="00A42FDB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F71284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Ma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y 2020</w:t>
          </w:r>
        </w:p>
      </w:tc>
      <w:tc>
        <w:tcPr>
          <w:tcW w:w="6151" w:type="dxa"/>
          <w:shd w:val="clear" w:color="auto" w:fill="002060"/>
          <w:vAlign w:val="center"/>
        </w:tcPr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:rsidR="00A42FDB" w:rsidRPr="002C361D" w:rsidRDefault="00A42FDB" w:rsidP="005D2EAB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:rsidR="00A42FDB" w:rsidRPr="005D2EAB" w:rsidRDefault="006718D6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71FD6C" wp14:editId="7DA60213">
                <wp:simplePos x="0" y="0"/>
                <wp:positionH relativeFrom="column">
                  <wp:posOffset>307975</wp:posOffset>
                </wp:positionH>
                <wp:positionV relativeFrom="paragraph">
                  <wp:posOffset>100965</wp:posOffset>
                </wp:positionV>
                <wp:extent cx="744855" cy="809625"/>
                <wp:effectExtent l="0" t="0" r="0" b="9525"/>
                <wp:wrapTopAndBottom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F2D"/>
      </v:shape>
    </w:pict>
  </w:numPicBullet>
  <w:abstractNum w:abstractNumId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A13388"/>
    <w:multiLevelType w:val="hybridMultilevel"/>
    <w:tmpl w:val="3A7E5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735AE"/>
    <w:multiLevelType w:val="hybridMultilevel"/>
    <w:tmpl w:val="00DAE9A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DC403C"/>
    <w:multiLevelType w:val="hybridMultilevel"/>
    <w:tmpl w:val="BF9C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E1688"/>
    <w:multiLevelType w:val="hybridMultilevel"/>
    <w:tmpl w:val="12EC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E32FAE"/>
    <w:multiLevelType w:val="hybridMultilevel"/>
    <w:tmpl w:val="1D2E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279C9"/>
    <w:multiLevelType w:val="hybridMultilevel"/>
    <w:tmpl w:val="6B285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AB3029"/>
    <w:multiLevelType w:val="hybridMultilevel"/>
    <w:tmpl w:val="015CA4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3252F7"/>
    <w:multiLevelType w:val="hybridMultilevel"/>
    <w:tmpl w:val="1C8A2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BD1399"/>
    <w:multiLevelType w:val="hybridMultilevel"/>
    <w:tmpl w:val="1F8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DE1AFE"/>
    <w:multiLevelType w:val="hybridMultilevel"/>
    <w:tmpl w:val="C6CAD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6"/>
  </w:num>
  <w:num w:numId="5">
    <w:abstractNumId w:val="2"/>
  </w:num>
  <w:num w:numId="6">
    <w:abstractNumId w:val="23"/>
  </w:num>
  <w:num w:numId="7">
    <w:abstractNumId w:val="5"/>
  </w:num>
  <w:num w:numId="8">
    <w:abstractNumId w:val="7"/>
  </w:num>
  <w:num w:numId="9">
    <w:abstractNumId w:val="6"/>
  </w:num>
  <w:num w:numId="10">
    <w:abstractNumId w:val="19"/>
  </w:num>
  <w:num w:numId="11">
    <w:abstractNumId w:val="10"/>
  </w:num>
  <w:num w:numId="12">
    <w:abstractNumId w:val="21"/>
  </w:num>
  <w:num w:numId="13">
    <w:abstractNumId w:val="4"/>
  </w:num>
  <w:num w:numId="14">
    <w:abstractNumId w:val="17"/>
  </w:num>
  <w:num w:numId="15">
    <w:abstractNumId w:val="1"/>
  </w:num>
  <w:num w:numId="16">
    <w:abstractNumId w:val="8"/>
  </w:num>
  <w:num w:numId="17">
    <w:abstractNumId w:val="25"/>
  </w:num>
  <w:num w:numId="18">
    <w:abstractNumId w:val="16"/>
  </w:num>
  <w:num w:numId="19">
    <w:abstractNumId w:val="15"/>
  </w:num>
  <w:num w:numId="20">
    <w:abstractNumId w:val="24"/>
  </w:num>
  <w:num w:numId="21">
    <w:abstractNumId w:val="3"/>
  </w:num>
  <w:num w:numId="22">
    <w:abstractNumId w:val="11"/>
  </w:num>
  <w:num w:numId="23">
    <w:abstractNumId w:val="22"/>
  </w:num>
  <w:num w:numId="24">
    <w:abstractNumId w:val="20"/>
  </w:num>
  <w:num w:numId="25">
    <w:abstractNumId w:val="18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5"/>
    <w:rsid w:val="00004E2F"/>
    <w:rsid w:val="000069E1"/>
    <w:rsid w:val="000115F0"/>
    <w:rsid w:val="00023054"/>
    <w:rsid w:val="00024CF2"/>
    <w:rsid w:val="00025EEC"/>
    <w:rsid w:val="00026B38"/>
    <w:rsid w:val="00027DF1"/>
    <w:rsid w:val="0003222D"/>
    <w:rsid w:val="00034FD9"/>
    <w:rsid w:val="0004125F"/>
    <w:rsid w:val="00045CDD"/>
    <w:rsid w:val="0006665E"/>
    <w:rsid w:val="0007148B"/>
    <w:rsid w:val="00082BD3"/>
    <w:rsid w:val="000A298C"/>
    <w:rsid w:val="000A37E9"/>
    <w:rsid w:val="000A58EF"/>
    <w:rsid w:val="000B4491"/>
    <w:rsid w:val="000C4126"/>
    <w:rsid w:val="000D17D3"/>
    <w:rsid w:val="000D6E0B"/>
    <w:rsid w:val="000E3D03"/>
    <w:rsid w:val="0011460E"/>
    <w:rsid w:val="001227B5"/>
    <w:rsid w:val="00130972"/>
    <w:rsid w:val="001314AE"/>
    <w:rsid w:val="00165273"/>
    <w:rsid w:val="001923C3"/>
    <w:rsid w:val="00197C00"/>
    <w:rsid w:val="001A70F5"/>
    <w:rsid w:val="001B6393"/>
    <w:rsid w:val="001D291E"/>
    <w:rsid w:val="002027EB"/>
    <w:rsid w:val="00207A98"/>
    <w:rsid w:val="00210772"/>
    <w:rsid w:val="00211A70"/>
    <w:rsid w:val="00215198"/>
    <w:rsid w:val="00216078"/>
    <w:rsid w:val="002164F7"/>
    <w:rsid w:val="00225BA9"/>
    <w:rsid w:val="0022639A"/>
    <w:rsid w:val="00232F13"/>
    <w:rsid w:val="0023767B"/>
    <w:rsid w:val="0024182E"/>
    <w:rsid w:val="00244F7D"/>
    <w:rsid w:val="00247273"/>
    <w:rsid w:val="00247CD5"/>
    <w:rsid w:val="00247F2E"/>
    <w:rsid w:val="002604B0"/>
    <w:rsid w:val="00260D99"/>
    <w:rsid w:val="00264F19"/>
    <w:rsid w:val="0027768E"/>
    <w:rsid w:val="002826A9"/>
    <w:rsid w:val="0029088B"/>
    <w:rsid w:val="0029353E"/>
    <w:rsid w:val="002A2068"/>
    <w:rsid w:val="002A2DE6"/>
    <w:rsid w:val="002A770B"/>
    <w:rsid w:val="002B32F2"/>
    <w:rsid w:val="002C1FD7"/>
    <w:rsid w:val="002C361D"/>
    <w:rsid w:val="002D55E3"/>
    <w:rsid w:val="002E4099"/>
    <w:rsid w:val="00304F5A"/>
    <w:rsid w:val="00312C6C"/>
    <w:rsid w:val="00313C67"/>
    <w:rsid w:val="003148B3"/>
    <w:rsid w:val="0032676E"/>
    <w:rsid w:val="0032777C"/>
    <w:rsid w:val="003362B4"/>
    <w:rsid w:val="003373DE"/>
    <w:rsid w:val="0036029F"/>
    <w:rsid w:val="00375A37"/>
    <w:rsid w:val="00383440"/>
    <w:rsid w:val="003A5EDF"/>
    <w:rsid w:val="003B60EF"/>
    <w:rsid w:val="003D265D"/>
    <w:rsid w:val="003D72D0"/>
    <w:rsid w:val="003E1C2B"/>
    <w:rsid w:val="003E2336"/>
    <w:rsid w:val="003E2AB6"/>
    <w:rsid w:val="003E6280"/>
    <w:rsid w:val="003F497F"/>
    <w:rsid w:val="0040086D"/>
    <w:rsid w:val="004041BA"/>
    <w:rsid w:val="0040561E"/>
    <w:rsid w:val="004109D4"/>
    <w:rsid w:val="00416902"/>
    <w:rsid w:val="00420AE1"/>
    <w:rsid w:val="00421E5E"/>
    <w:rsid w:val="004308B1"/>
    <w:rsid w:val="00433148"/>
    <w:rsid w:val="004430A4"/>
    <w:rsid w:val="004576EC"/>
    <w:rsid w:val="004642EC"/>
    <w:rsid w:val="00467C49"/>
    <w:rsid w:val="00474F83"/>
    <w:rsid w:val="00475E36"/>
    <w:rsid w:val="00487DDA"/>
    <w:rsid w:val="00493728"/>
    <w:rsid w:val="004941D2"/>
    <w:rsid w:val="00497EB9"/>
    <w:rsid w:val="004A2C07"/>
    <w:rsid w:val="004A7E44"/>
    <w:rsid w:val="004B0515"/>
    <w:rsid w:val="004D5309"/>
    <w:rsid w:val="004E54A3"/>
    <w:rsid w:val="004F0FB0"/>
    <w:rsid w:val="004F467C"/>
    <w:rsid w:val="004F6611"/>
    <w:rsid w:val="004F7B2B"/>
    <w:rsid w:val="00501AE2"/>
    <w:rsid w:val="00506C17"/>
    <w:rsid w:val="0051222C"/>
    <w:rsid w:val="00512B1B"/>
    <w:rsid w:val="00513835"/>
    <w:rsid w:val="005179CC"/>
    <w:rsid w:val="00530D7C"/>
    <w:rsid w:val="00531FB3"/>
    <w:rsid w:val="0053241B"/>
    <w:rsid w:val="005324E1"/>
    <w:rsid w:val="00532EA7"/>
    <w:rsid w:val="00534099"/>
    <w:rsid w:val="005363FD"/>
    <w:rsid w:val="005372D9"/>
    <w:rsid w:val="0054359F"/>
    <w:rsid w:val="005517C6"/>
    <w:rsid w:val="00563C75"/>
    <w:rsid w:val="00571C5D"/>
    <w:rsid w:val="00575FEF"/>
    <w:rsid w:val="00583A04"/>
    <w:rsid w:val="00585281"/>
    <w:rsid w:val="005C4EC3"/>
    <w:rsid w:val="005D13A8"/>
    <w:rsid w:val="005D2EAB"/>
    <w:rsid w:val="005E4368"/>
    <w:rsid w:val="005F4F7C"/>
    <w:rsid w:val="006106AE"/>
    <w:rsid w:val="00640B0E"/>
    <w:rsid w:val="00642529"/>
    <w:rsid w:val="006431EF"/>
    <w:rsid w:val="006465FE"/>
    <w:rsid w:val="00661780"/>
    <w:rsid w:val="00670772"/>
    <w:rsid w:val="006718D6"/>
    <w:rsid w:val="0067331F"/>
    <w:rsid w:val="006747CF"/>
    <w:rsid w:val="00674A43"/>
    <w:rsid w:val="00680A0B"/>
    <w:rsid w:val="00680B26"/>
    <w:rsid w:val="00682BFD"/>
    <w:rsid w:val="00693AD1"/>
    <w:rsid w:val="00693FCB"/>
    <w:rsid w:val="006A05D6"/>
    <w:rsid w:val="006B071B"/>
    <w:rsid w:val="006B3518"/>
    <w:rsid w:val="006B6F75"/>
    <w:rsid w:val="006B7F07"/>
    <w:rsid w:val="006D4605"/>
    <w:rsid w:val="006D5A7C"/>
    <w:rsid w:val="006F186F"/>
    <w:rsid w:val="006F4F92"/>
    <w:rsid w:val="00704D6C"/>
    <w:rsid w:val="00714B95"/>
    <w:rsid w:val="00715E59"/>
    <w:rsid w:val="007337FB"/>
    <w:rsid w:val="007350FA"/>
    <w:rsid w:val="00736959"/>
    <w:rsid w:val="00740A58"/>
    <w:rsid w:val="007429B0"/>
    <w:rsid w:val="00747A77"/>
    <w:rsid w:val="00750033"/>
    <w:rsid w:val="007501A3"/>
    <w:rsid w:val="00750F49"/>
    <w:rsid w:val="0075685A"/>
    <w:rsid w:val="00764CCE"/>
    <w:rsid w:val="00770686"/>
    <w:rsid w:val="00774545"/>
    <w:rsid w:val="00774E68"/>
    <w:rsid w:val="0077538E"/>
    <w:rsid w:val="007821A8"/>
    <w:rsid w:val="00785260"/>
    <w:rsid w:val="007875CA"/>
    <w:rsid w:val="0079582D"/>
    <w:rsid w:val="007A4959"/>
    <w:rsid w:val="007B22E5"/>
    <w:rsid w:val="007B6E1C"/>
    <w:rsid w:val="007C0FA4"/>
    <w:rsid w:val="007E53BD"/>
    <w:rsid w:val="007F4948"/>
    <w:rsid w:val="007F6FCF"/>
    <w:rsid w:val="007F735D"/>
    <w:rsid w:val="008028BD"/>
    <w:rsid w:val="00804A0B"/>
    <w:rsid w:val="00805C23"/>
    <w:rsid w:val="00821BC9"/>
    <w:rsid w:val="00826202"/>
    <w:rsid w:val="0085067B"/>
    <w:rsid w:val="00851B27"/>
    <w:rsid w:val="00851DBB"/>
    <w:rsid w:val="00860A36"/>
    <w:rsid w:val="008611D6"/>
    <w:rsid w:val="00865598"/>
    <w:rsid w:val="0087708C"/>
    <w:rsid w:val="0089340B"/>
    <w:rsid w:val="00894283"/>
    <w:rsid w:val="008A19CA"/>
    <w:rsid w:val="008B4F7C"/>
    <w:rsid w:val="008B4FB2"/>
    <w:rsid w:val="008B545E"/>
    <w:rsid w:val="008F0EAE"/>
    <w:rsid w:val="008F3C57"/>
    <w:rsid w:val="008F7704"/>
    <w:rsid w:val="009028CF"/>
    <w:rsid w:val="00904F9A"/>
    <w:rsid w:val="00906436"/>
    <w:rsid w:val="00906D2F"/>
    <w:rsid w:val="00906DB9"/>
    <w:rsid w:val="0091796E"/>
    <w:rsid w:val="00923392"/>
    <w:rsid w:val="00960614"/>
    <w:rsid w:val="00962953"/>
    <w:rsid w:val="00983DE9"/>
    <w:rsid w:val="009853D3"/>
    <w:rsid w:val="00990645"/>
    <w:rsid w:val="009917BB"/>
    <w:rsid w:val="00997619"/>
    <w:rsid w:val="009A4345"/>
    <w:rsid w:val="009A5A01"/>
    <w:rsid w:val="009B13C0"/>
    <w:rsid w:val="009B28BF"/>
    <w:rsid w:val="009C1F06"/>
    <w:rsid w:val="009C2E65"/>
    <w:rsid w:val="009C3658"/>
    <w:rsid w:val="009C413D"/>
    <w:rsid w:val="009F2F79"/>
    <w:rsid w:val="009F37FD"/>
    <w:rsid w:val="00A04EDD"/>
    <w:rsid w:val="00A100CA"/>
    <w:rsid w:val="00A12A44"/>
    <w:rsid w:val="00A14F8E"/>
    <w:rsid w:val="00A24FB2"/>
    <w:rsid w:val="00A31DB8"/>
    <w:rsid w:val="00A42FDB"/>
    <w:rsid w:val="00A4650C"/>
    <w:rsid w:val="00A47711"/>
    <w:rsid w:val="00A47930"/>
    <w:rsid w:val="00A54A53"/>
    <w:rsid w:val="00A565BE"/>
    <w:rsid w:val="00A56964"/>
    <w:rsid w:val="00A64E58"/>
    <w:rsid w:val="00A86289"/>
    <w:rsid w:val="00A9325D"/>
    <w:rsid w:val="00A93410"/>
    <w:rsid w:val="00A9594E"/>
    <w:rsid w:val="00AA1472"/>
    <w:rsid w:val="00AA5D1C"/>
    <w:rsid w:val="00AC561B"/>
    <w:rsid w:val="00AC5C9F"/>
    <w:rsid w:val="00AC796F"/>
    <w:rsid w:val="00AD2B02"/>
    <w:rsid w:val="00AD5628"/>
    <w:rsid w:val="00AE5D54"/>
    <w:rsid w:val="00AF08F7"/>
    <w:rsid w:val="00AF7013"/>
    <w:rsid w:val="00B10D1A"/>
    <w:rsid w:val="00B12BBD"/>
    <w:rsid w:val="00B2335F"/>
    <w:rsid w:val="00B30AA1"/>
    <w:rsid w:val="00B67CC1"/>
    <w:rsid w:val="00B72746"/>
    <w:rsid w:val="00B77B78"/>
    <w:rsid w:val="00B8732B"/>
    <w:rsid w:val="00B90CB9"/>
    <w:rsid w:val="00BA11E4"/>
    <w:rsid w:val="00BA16DB"/>
    <w:rsid w:val="00BB3903"/>
    <w:rsid w:val="00BC591F"/>
    <w:rsid w:val="00BD1059"/>
    <w:rsid w:val="00BD2851"/>
    <w:rsid w:val="00BE17F2"/>
    <w:rsid w:val="00BF53B3"/>
    <w:rsid w:val="00BF5B47"/>
    <w:rsid w:val="00C011FD"/>
    <w:rsid w:val="00C21A02"/>
    <w:rsid w:val="00C459C9"/>
    <w:rsid w:val="00C63C9B"/>
    <w:rsid w:val="00C67186"/>
    <w:rsid w:val="00C72AE1"/>
    <w:rsid w:val="00C83FB0"/>
    <w:rsid w:val="00C84C80"/>
    <w:rsid w:val="00C85647"/>
    <w:rsid w:val="00C856A2"/>
    <w:rsid w:val="00C87F18"/>
    <w:rsid w:val="00CA2061"/>
    <w:rsid w:val="00CA65A7"/>
    <w:rsid w:val="00CA7021"/>
    <w:rsid w:val="00CB4F96"/>
    <w:rsid w:val="00CC0499"/>
    <w:rsid w:val="00CD3764"/>
    <w:rsid w:val="00CD60DB"/>
    <w:rsid w:val="00CE1624"/>
    <w:rsid w:val="00CF044A"/>
    <w:rsid w:val="00CF4BB6"/>
    <w:rsid w:val="00D00D38"/>
    <w:rsid w:val="00D01D0F"/>
    <w:rsid w:val="00D10B02"/>
    <w:rsid w:val="00D13742"/>
    <w:rsid w:val="00D26DE7"/>
    <w:rsid w:val="00D31094"/>
    <w:rsid w:val="00D410D3"/>
    <w:rsid w:val="00D431EC"/>
    <w:rsid w:val="00D44ED3"/>
    <w:rsid w:val="00D53687"/>
    <w:rsid w:val="00D636DC"/>
    <w:rsid w:val="00D6482E"/>
    <w:rsid w:val="00D64A9A"/>
    <w:rsid w:val="00D76BF3"/>
    <w:rsid w:val="00D80425"/>
    <w:rsid w:val="00D83727"/>
    <w:rsid w:val="00D85AE4"/>
    <w:rsid w:val="00D96F26"/>
    <w:rsid w:val="00DA1AA5"/>
    <w:rsid w:val="00DA2F3D"/>
    <w:rsid w:val="00DB48E8"/>
    <w:rsid w:val="00DB7796"/>
    <w:rsid w:val="00DC7C3E"/>
    <w:rsid w:val="00DD0AA0"/>
    <w:rsid w:val="00DD23FA"/>
    <w:rsid w:val="00DE00A6"/>
    <w:rsid w:val="00DE6B07"/>
    <w:rsid w:val="00DF5EE7"/>
    <w:rsid w:val="00E07248"/>
    <w:rsid w:val="00E15290"/>
    <w:rsid w:val="00E17ECA"/>
    <w:rsid w:val="00E30A95"/>
    <w:rsid w:val="00E3304B"/>
    <w:rsid w:val="00E33B56"/>
    <w:rsid w:val="00E46AC1"/>
    <w:rsid w:val="00E62EB2"/>
    <w:rsid w:val="00E64305"/>
    <w:rsid w:val="00E74DA5"/>
    <w:rsid w:val="00E74DCD"/>
    <w:rsid w:val="00E767CC"/>
    <w:rsid w:val="00E81868"/>
    <w:rsid w:val="00E94F03"/>
    <w:rsid w:val="00E97440"/>
    <w:rsid w:val="00E97705"/>
    <w:rsid w:val="00E97749"/>
    <w:rsid w:val="00EB01E7"/>
    <w:rsid w:val="00EB68DB"/>
    <w:rsid w:val="00EB6CA7"/>
    <w:rsid w:val="00EC2501"/>
    <w:rsid w:val="00EC65F4"/>
    <w:rsid w:val="00EC7526"/>
    <w:rsid w:val="00EC7F37"/>
    <w:rsid w:val="00ED1B8A"/>
    <w:rsid w:val="00ED52D1"/>
    <w:rsid w:val="00EE008F"/>
    <w:rsid w:val="00EE1405"/>
    <w:rsid w:val="00EE514E"/>
    <w:rsid w:val="00EE5D73"/>
    <w:rsid w:val="00EE6014"/>
    <w:rsid w:val="00EF5FB4"/>
    <w:rsid w:val="00EF6BD5"/>
    <w:rsid w:val="00F114D0"/>
    <w:rsid w:val="00F12819"/>
    <w:rsid w:val="00F22537"/>
    <w:rsid w:val="00F319C3"/>
    <w:rsid w:val="00F4705B"/>
    <w:rsid w:val="00F4739A"/>
    <w:rsid w:val="00F52A15"/>
    <w:rsid w:val="00F54152"/>
    <w:rsid w:val="00F622E1"/>
    <w:rsid w:val="00F64336"/>
    <w:rsid w:val="00F67D94"/>
    <w:rsid w:val="00F71284"/>
    <w:rsid w:val="00F7763B"/>
    <w:rsid w:val="00F85BA0"/>
    <w:rsid w:val="00F97A4E"/>
    <w:rsid w:val="00FA7045"/>
    <w:rsid w:val="00FA7BC8"/>
    <w:rsid w:val="00FB198C"/>
    <w:rsid w:val="00FD3A7D"/>
    <w:rsid w:val="00FD4D9F"/>
    <w:rsid w:val="00FE09FF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4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B9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Accent2">
    <w:name w:val="Grid Table 3 Accent 2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Accent2">
    <w:name w:val="Grid Table 5 Dark Accent 2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B9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Accent2">
    <w:name w:val="Grid Table 3 Accent 2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Accent2">
    <w:name w:val="Grid Table 5 Dark Accent 2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2" ma:contentTypeDescription="Create a new document." ma:contentTypeScope="" ma:versionID="4c36454f8913f40893814dcd288dd97d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b96c0a79422527cba9412756cbc60692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6DDA7-898F-4E01-86E1-11F200A0A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B298D9-69DD-4EF1-8E90-55D96C05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2020-05-06T17:29:00Z</dcterms:created>
  <dcterms:modified xsi:type="dcterms:W3CDTF">2020-05-06T17:29:00Z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