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6619" w14:textId="416A8861" w:rsidR="001836B9" w:rsidRPr="001836B9" w:rsidRDefault="001836B9">
      <w:pPr>
        <w:rPr>
          <w:rFonts w:ascii="Garamond" w:hAnsi="Garamond"/>
          <w:b/>
          <w:bCs/>
          <w:sz w:val="28"/>
          <w:szCs w:val="28"/>
        </w:rPr>
      </w:pPr>
      <w:r w:rsidRPr="001836B9">
        <w:rPr>
          <w:rFonts w:ascii="Garamond" w:hAnsi="Garamond"/>
          <w:b/>
          <w:bCs/>
          <w:sz w:val="28"/>
          <w:szCs w:val="28"/>
        </w:rPr>
        <w:t>Gas Procurement Rate Increase Alert</w:t>
      </w:r>
      <w:r w:rsidR="00245E9C">
        <w:rPr>
          <w:rFonts w:ascii="Garamond" w:hAnsi="Garamond"/>
          <w:b/>
          <w:bCs/>
          <w:sz w:val="28"/>
          <w:szCs w:val="28"/>
        </w:rPr>
        <w:tab/>
      </w:r>
      <w:r w:rsidR="00245E9C">
        <w:rPr>
          <w:rFonts w:ascii="Garamond" w:hAnsi="Garamond"/>
          <w:b/>
          <w:bCs/>
          <w:sz w:val="28"/>
          <w:szCs w:val="28"/>
        </w:rPr>
        <w:tab/>
      </w:r>
      <w:r w:rsidR="00245E9C">
        <w:rPr>
          <w:rFonts w:ascii="Garamond" w:hAnsi="Garamond"/>
          <w:b/>
          <w:bCs/>
          <w:sz w:val="28"/>
          <w:szCs w:val="28"/>
        </w:rPr>
        <w:tab/>
        <w:t xml:space="preserve">November </w:t>
      </w:r>
      <w:r w:rsidR="00B5145F">
        <w:rPr>
          <w:rFonts w:ascii="Garamond" w:hAnsi="Garamond"/>
          <w:b/>
          <w:bCs/>
          <w:sz w:val="28"/>
          <w:szCs w:val="28"/>
        </w:rPr>
        <w:t xml:space="preserve">16, </w:t>
      </w:r>
      <w:r w:rsidR="00245E9C">
        <w:rPr>
          <w:rFonts w:ascii="Garamond" w:hAnsi="Garamond"/>
          <w:b/>
          <w:bCs/>
          <w:sz w:val="28"/>
          <w:szCs w:val="28"/>
        </w:rPr>
        <w:t>2021</w:t>
      </w:r>
    </w:p>
    <w:p w14:paraId="743C5D91" w14:textId="5500843A" w:rsidR="001836B9" w:rsidRDefault="001836B9" w:rsidP="001836B9">
      <w:pPr>
        <w:rPr>
          <w:rFonts w:ascii="Garamond" w:hAnsi="Garamond"/>
          <w:sz w:val="24"/>
          <w:szCs w:val="24"/>
        </w:rPr>
      </w:pPr>
      <w:r w:rsidRPr="001836B9">
        <w:rPr>
          <w:rFonts w:ascii="Garamond" w:hAnsi="Garamond"/>
          <w:sz w:val="24"/>
          <w:szCs w:val="24"/>
        </w:rPr>
        <w:t xml:space="preserve">The ED Gas teams are following up on information that indicates gas commodity prices this winter will be much more expensive than last winter, potentially close to 100% more on a per </w:t>
      </w:r>
      <w:proofErr w:type="spellStart"/>
      <w:r w:rsidRPr="001836B9">
        <w:rPr>
          <w:rFonts w:ascii="Garamond" w:hAnsi="Garamond"/>
          <w:sz w:val="24"/>
          <w:szCs w:val="24"/>
        </w:rPr>
        <w:t>therm</w:t>
      </w:r>
      <w:proofErr w:type="spellEnd"/>
      <w:r w:rsidRPr="001836B9">
        <w:rPr>
          <w:rFonts w:ascii="Garamond" w:hAnsi="Garamond"/>
          <w:sz w:val="24"/>
          <w:szCs w:val="24"/>
        </w:rPr>
        <w:t xml:space="preserve"> basis</w:t>
      </w:r>
      <w:proofErr w:type="gramStart"/>
      <w:r w:rsidRPr="001836B9">
        <w:rPr>
          <w:rFonts w:ascii="Garamond" w:hAnsi="Garamond"/>
          <w:sz w:val="24"/>
          <w:szCs w:val="24"/>
        </w:rPr>
        <w:t xml:space="preserve">.  </w:t>
      </w:r>
      <w:proofErr w:type="gramEnd"/>
    </w:p>
    <w:p w14:paraId="347DBDA4" w14:textId="3B1CBA3F" w:rsidR="001836B9" w:rsidRDefault="00FF2EA7" w:rsidP="001836B9">
      <w:pPr>
        <w:rPr>
          <w:rFonts w:ascii="Garamond" w:eastAsia="Rockwell" w:hAnsi="Garamond" w:cs="Calibri"/>
          <w:sz w:val="24"/>
          <w:szCs w:val="24"/>
        </w:rPr>
      </w:pPr>
      <w:r>
        <w:rPr>
          <w:rFonts w:ascii="Garamond" w:eastAsia="Rockwell" w:hAnsi="Garamond" w:cs="Calibri"/>
          <w:sz w:val="24"/>
          <w:szCs w:val="24"/>
        </w:rPr>
        <w:t>G</w:t>
      </w:r>
      <w:r w:rsidR="001836B9" w:rsidRPr="001836B9">
        <w:rPr>
          <w:rFonts w:ascii="Garamond" w:eastAsia="Rockwell" w:hAnsi="Garamond" w:cs="Calibri"/>
          <w:sz w:val="24"/>
          <w:szCs w:val="24"/>
        </w:rPr>
        <w:t>eneral volatility in the natural gas market</w:t>
      </w:r>
      <w:r>
        <w:rPr>
          <w:rFonts w:ascii="Garamond" w:eastAsia="Rockwell" w:hAnsi="Garamond" w:cs="Calibri"/>
          <w:sz w:val="24"/>
          <w:szCs w:val="24"/>
        </w:rPr>
        <w:t xml:space="preserve"> resulting in </w:t>
      </w:r>
      <w:r w:rsidR="001836B9" w:rsidRPr="001836B9">
        <w:rPr>
          <w:rFonts w:ascii="Garamond" w:eastAsia="Rockwell" w:hAnsi="Garamond" w:cs="Calibri"/>
          <w:sz w:val="24"/>
          <w:szCs w:val="24"/>
        </w:rPr>
        <w:t xml:space="preserve">seasonal high prices </w:t>
      </w:r>
      <w:r w:rsidR="004F638A">
        <w:rPr>
          <w:rFonts w:ascii="Garamond" w:eastAsia="Rockwell" w:hAnsi="Garamond" w:cs="Calibri"/>
          <w:sz w:val="24"/>
          <w:szCs w:val="24"/>
        </w:rPr>
        <w:t xml:space="preserve">is </w:t>
      </w:r>
      <w:r w:rsidR="00FC65C6">
        <w:rPr>
          <w:rFonts w:ascii="Garamond" w:eastAsia="Rockwell" w:hAnsi="Garamond" w:cs="Calibri"/>
          <w:sz w:val="24"/>
          <w:szCs w:val="24"/>
        </w:rPr>
        <w:t>caused by</w:t>
      </w:r>
      <w:r w:rsidR="001836B9" w:rsidRPr="001836B9">
        <w:rPr>
          <w:rFonts w:ascii="Garamond" w:eastAsia="Rockwell" w:hAnsi="Garamond" w:cs="Calibri"/>
          <w:sz w:val="24"/>
          <w:szCs w:val="24"/>
        </w:rPr>
        <w:t xml:space="preserve"> </w:t>
      </w:r>
      <w:r>
        <w:rPr>
          <w:rFonts w:ascii="Garamond" w:eastAsia="Rockwell" w:hAnsi="Garamond" w:cs="Calibri"/>
          <w:sz w:val="24"/>
          <w:szCs w:val="24"/>
        </w:rPr>
        <w:t xml:space="preserve">expanding global demand with </w:t>
      </w:r>
      <w:r w:rsidR="001836B9" w:rsidRPr="001836B9">
        <w:rPr>
          <w:rFonts w:ascii="Garamond" w:eastAsia="Rockwell" w:hAnsi="Garamond" w:cs="Calibri"/>
          <w:sz w:val="24"/>
          <w:szCs w:val="24"/>
        </w:rPr>
        <w:t xml:space="preserve">supply being unable to keep up with </w:t>
      </w:r>
      <w:r>
        <w:rPr>
          <w:rFonts w:ascii="Garamond" w:eastAsia="Rockwell" w:hAnsi="Garamond" w:cs="Calibri"/>
          <w:sz w:val="24"/>
          <w:szCs w:val="24"/>
        </w:rPr>
        <w:t>the demand</w:t>
      </w:r>
      <w:r w:rsidR="00B81FFF">
        <w:rPr>
          <w:rFonts w:ascii="Garamond" w:eastAsia="Rockwell" w:hAnsi="Garamond" w:cs="Calibri"/>
          <w:sz w:val="24"/>
          <w:szCs w:val="24"/>
        </w:rPr>
        <w:t xml:space="preserve">. </w:t>
      </w:r>
      <w:r w:rsidR="00BF45E3">
        <w:rPr>
          <w:rFonts w:ascii="Garamond" w:eastAsia="Rockwell" w:hAnsi="Garamond" w:cs="Calibri"/>
          <w:sz w:val="24"/>
          <w:szCs w:val="24"/>
        </w:rPr>
        <w:t xml:space="preserve">For SoCalGas and SDG&amp;E, this is compounded by </w:t>
      </w:r>
      <w:r w:rsidR="00F56CB6">
        <w:rPr>
          <w:rFonts w:ascii="Garamond" w:eastAsia="Rockwell" w:hAnsi="Garamond" w:cs="Calibri"/>
          <w:sz w:val="24"/>
          <w:szCs w:val="24"/>
        </w:rPr>
        <w:t>an outage on an El Paso interstate pipeline that serves Southern California.</w:t>
      </w:r>
      <w:r w:rsidR="001836B9" w:rsidRPr="001836B9">
        <w:rPr>
          <w:rFonts w:ascii="Garamond" w:eastAsia="Rockwell" w:hAnsi="Garamond" w:cs="Calibri"/>
          <w:sz w:val="24"/>
          <w:szCs w:val="24"/>
        </w:rPr>
        <w:t xml:space="preserve"> </w:t>
      </w:r>
    </w:p>
    <w:p w14:paraId="0B8527F0" w14:textId="5821DF6C" w:rsidR="00BF45E3" w:rsidRPr="001836B9" w:rsidRDefault="00BF45E3" w:rsidP="001836B9">
      <w:pPr>
        <w:rPr>
          <w:rFonts w:ascii="Garamond" w:eastAsia="Rockwell" w:hAnsi="Garamond" w:cs="Calibri"/>
          <w:sz w:val="24"/>
          <w:szCs w:val="24"/>
        </w:rPr>
      </w:pPr>
      <w:r>
        <w:rPr>
          <w:rFonts w:ascii="Garamond" w:eastAsia="Rockwell" w:hAnsi="Garamond" w:cs="Calibri"/>
          <w:sz w:val="24"/>
          <w:szCs w:val="24"/>
        </w:rPr>
        <w:t xml:space="preserve">The table below compares the October and November 2021 procurement rates for </w:t>
      </w:r>
      <w:r w:rsidR="00FC65C6">
        <w:rPr>
          <w:rFonts w:ascii="Garamond" w:eastAsia="Rockwell" w:hAnsi="Garamond" w:cs="Calibri"/>
          <w:sz w:val="24"/>
          <w:szCs w:val="24"/>
        </w:rPr>
        <w:t xml:space="preserve">average </w:t>
      </w:r>
      <w:r>
        <w:rPr>
          <w:rFonts w:ascii="Garamond" w:eastAsia="Rockwell" w:hAnsi="Garamond" w:cs="Calibri"/>
          <w:sz w:val="24"/>
          <w:szCs w:val="24"/>
        </w:rPr>
        <w:t xml:space="preserve">residential customers </w:t>
      </w:r>
      <w:r w:rsidR="000D6BE6">
        <w:rPr>
          <w:rFonts w:ascii="Garamond" w:eastAsia="Rockwell" w:hAnsi="Garamond" w:cs="Calibri"/>
          <w:sz w:val="24"/>
          <w:szCs w:val="24"/>
        </w:rPr>
        <w:t xml:space="preserve">to the </w:t>
      </w:r>
      <w:r w:rsidR="00FC65C6">
        <w:rPr>
          <w:rFonts w:ascii="Garamond" w:eastAsia="Rockwell" w:hAnsi="Garamond" w:cs="Calibri"/>
          <w:sz w:val="24"/>
          <w:szCs w:val="24"/>
        </w:rPr>
        <w:t>same</w:t>
      </w:r>
      <w:r w:rsidR="000D6BE6">
        <w:rPr>
          <w:rFonts w:ascii="Garamond" w:eastAsia="Rockwell" w:hAnsi="Garamond" w:cs="Calibri"/>
          <w:sz w:val="24"/>
          <w:szCs w:val="24"/>
        </w:rPr>
        <w:t xml:space="preserve"> months in 2020 </w:t>
      </w:r>
      <w:r>
        <w:rPr>
          <w:rFonts w:ascii="Garamond" w:eastAsia="Rockwell" w:hAnsi="Garamond" w:cs="Calibri"/>
          <w:sz w:val="24"/>
          <w:szCs w:val="24"/>
        </w:rPr>
        <w:t>and the bill impacts based on their average monthly consumption</w:t>
      </w:r>
      <w:r w:rsidR="000D6BE6">
        <w:rPr>
          <w:rFonts w:ascii="Garamond" w:eastAsia="Rockwell" w:hAnsi="Garamond" w:cs="Calibri"/>
          <w:sz w:val="24"/>
          <w:szCs w:val="24"/>
        </w:rPr>
        <w:t>.</w:t>
      </w:r>
    </w:p>
    <w:p w14:paraId="27E3784D" w14:textId="120970DC" w:rsidR="00CD1EB1" w:rsidRPr="001836B9" w:rsidRDefault="00CD1EB1">
      <w:pPr>
        <w:rPr>
          <w:rFonts w:ascii="Garamond" w:hAnsi="Garamond"/>
          <w:sz w:val="24"/>
          <w:szCs w:val="24"/>
        </w:rPr>
      </w:pPr>
    </w:p>
    <w:p w14:paraId="5C22EBC3" w14:textId="423E4E41" w:rsidR="001836B9" w:rsidRPr="001836B9" w:rsidRDefault="001836B9" w:rsidP="001836B9">
      <w:pPr>
        <w:jc w:val="center"/>
        <w:rPr>
          <w:rFonts w:ascii="Garamond" w:hAnsi="Garamond"/>
          <w:b/>
          <w:bCs/>
          <w:sz w:val="24"/>
          <w:szCs w:val="24"/>
        </w:rPr>
      </w:pPr>
      <w:r w:rsidRPr="001836B9">
        <w:rPr>
          <w:rFonts w:ascii="Garamond" w:hAnsi="Garamond"/>
          <w:b/>
          <w:bCs/>
          <w:sz w:val="24"/>
          <w:szCs w:val="24"/>
        </w:rPr>
        <w:t xml:space="preserve">PG&amp;E, SoCalGas, SDG&amp;E </w:t>
      </w:r>
      <w:r w:rsidR="000D6BE6">
        <w:rPr>
          <w:rFonts w:ascii="Garamond" w:hAnsi="Garamond"/>
          <w:b/>
          <w:bCs/>
          <w:sz w:val="24"/>
          <w:szCs w:val="24"/>
        </w:rPr>
        <w:t xml:space="preserve">Average </w:t>
      </w:r>
      <w:r w:rsidRPr="001836B9">
        <w:rPr>
          <w:rFonts w:ascii="Garamond" w:hAnsi="Garamond"/>
          <w:b/>
          <w:bCs/>
          <w:sz w:val="24"/>
          <w:szCs w:val="24"/>
        </w:rPr>
        <w:t xml:space="preserve">Residential </w:t>
      </w:r>
      <w:r w:rsidR="008C1C46">
        <w:rPr>
          <w:rFonts w:ascii="Garamond" w:hAnsi="Garamond"/>
          <w:b/>
          <w:bCs/>
          <w:sz w:val="24"/>
          <w:szCs w:val="24"/>
        </w:rPr>
        <w:t>C</w:t>
      </w:r>
      <w:r w:rsidRPr="001836B9">
        <w:rPr>
          <w:rFonts w:ascii="Garamond" w:hAnsi="Garamond"/>
          <w:b/>
          <w:bCs/>
          <w:sz w:val="24"/>
          <w:szCs w:val="24"/>
        </w:rPr>
        <w:t>ustomers</w:t>
      </w:r>
    </w:p>
    <w:tbl>
      <w:tblPr>
        <w:tblStyle w:val="TableGridLight"/>
        <w:tblW w:w="8691" w:type="dxa"/>
        <w:tblLook w:val="04A0" w:firstRow="1" w:lastRow="0" w:firstColumn="1" w:lastColumn="0" w:noHBand="0" w:noVBand="1"/>
      </w:tblPr>
      <w:tblGrid>
        <w:gridCol w:w="1224"/>
        <w:gridCol w:w="1519"/>
        <w:gridCol w:w="1525"/>
        <w:gridCol w:w="1265"/>
        <w:gridCol w:w="1604"/>
        <w:gridCol w:w="1554"/>
      </w:tblGrid>
      <w:tr w:rsidR="001836B9" w:rsidRPr="001836B9" w14:paraId="72BFAFCE" w14:textId="77777777" w:rsidTr="00AA75BC">
        <w:trPr>
          <w:trHeight w:val="1560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71CC07AA" w14:textId="77777777" w:rsidR="001836B9" w:rsidRPr="001836B9" w:rsidRDefault="001836B9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B4EEEC8" w14:textId="77777777" w:rsidR="001836B9" w:rsidRPr="001836B9" w:rsidRDefault="001836B9" w:rsidP="00AA75B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 xml:space="preserve">2020 per </w:t>
            </w:r>
            <w:proofErr w:type="spellStart"/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therm</w:t>
            </w:r>
            <w:proofErr w:type="spellEnd"/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 xml:space="preserve"> procurement rate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E2B4965" w14:textId="77777777" w:rsidR="001836B9" w:rsidRPr="001836B9" w:rsidRDefault="001836B9" w:rsidP="00AA75B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 xml:space="preserve">2021 per </w:t>
            </w:r>
            <w:proofErr w:type="spellStart"/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therm</w:t>
            </w:r>
            <w:proofErr w:type="spellEnd"/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 xml:space="preserve"> procurement rate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DAB8042" w14:textId="55D7C832" w:rsidR="001836B9" w:rsidRPr="001836B9" w:rsidRDefault="001836B9" w:rsidP="00AA75B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change</w:t>
            </w:r>
            <w:proofErr w:type="gramEnd"/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 xml:space="preserve"> 2020 to </w:t>
            </w:r>
            <w:r w:rsidR="00FC65C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20</w:t>
            </w:r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7643246" w14:textId="77777777" w:rsidR="001836B9" w:rsidRPr="001836B9" w:rsidRDefault="001836B9" w:rsidP="00AA75B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Bill impact to avg residential customer (procurement only)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63DCDF" w14:textId="77777777" w:rsidR="001836B9" w:rsidRDefault="001836B9" w:rsidP="00AA75B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 xml:space="preserve">Residential </w:t>
            </w:r>
            <w:proofErr w:type="gramStart"/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 xml:space="preserve">Avg.  </w:t>
            </w:r>
            <w:proofErr w:type="gramEnd"/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monthly consumption</w:t>
            </w:r>
          </w:p>
          <w:p w14:paraId="59E9A083" w14:textId="4E92A019" w:rsidR="00AF43D2" w:rsidRPr="001836B9" w:rsidRDefault="00AF43D2" w:rsidP="00AA75B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therm</w:t>
            </w:r>
            <w:proofErr w:type="spellEnd"/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836B9" w:rsidRPr="001836B9" w14:paraId="0B132054" w14:textId="77777777" w:rsidTr="00A068F4">
        <w:trPr>
          <w:trHeight w:val="312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3EC87975" w14:textId="77777777" w:rsidR="001836B9" w:rsidRPr="001836B9" w:rsidRDefault="001836B9" w:rsidP="001836B9">
            <w:pP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PG&amp;E</w:t>
            </w:r>
          </w:p>
        </w:tc>
        <w:tc>
          <w:tcPr>
            <w:tcW w:w="1519" w:type="dxa"/>
            <w:tcBorders>
              <w:top w:val="single" w:sz="12" w:space="0" w:color="auto"/>
            </w:tcBorders>
            <w:hideMark/>
          </w:tcPr>
          <w:p w14:paraId="2BE84EA7" w14:textId="77777777" w:rsidR="001836B9" w:rsidRPr="001836B9" w:rsidRDefault="001836B9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12" w:space="0" w:color="auto"/>
            </w:tcBorders>
            <w:hideMark/>
          </w:tcPr>
          <w:p w14:paraId="0A1E2BA5" w14:textId="77777777" w:rsidR="001836B9" w:rsidRPr="001836B9" w:rsidRDefault="001836B9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hideMark/>
          </w:tcPr>
          <w:p w14:paraId="427D1DA7" w14:textId="77777777" w:rsidR="001836B9" w:rsidRPr="001836B9" w:rsidRDefault="001836B9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hideMark/>
          </w:tcPr>
          <w:p w14:paraId="54E758CC" w14:textId="77777777" w:rsidR="001836B9" w:rsidRPr="001836B9" w:rsidRDefault="001836B9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4A466EBD" w14:textId="77777777" w:rsidR="001836B9" w:rsidRPr="001836B9" w:rsidRDefault="001836B9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</w:tr>
      <w:tr w:rsidR="001836B9" w:rsidRPr="001836B9" w14:paraId="6960EB22" w14:textId="77777777" w:rsidTr="00A068F4">
        <w:trPr>
          <w:trHeight w:val="312"/>
        </w:trPr>
        <w:tc>
          <w:tcPr>
            <w:tcW w:w="1224" w:type="dxa"/>
            <w:tcBorders>
              <w:left w:val="single" w:sz="12" w:space="0" w:color="auto"/>
            </w:tcBorders>
            <w:hideMark/>
          </w:tcPr>
          <w:p w14:paraId="77CBFDEB" w14:textId="77777777" w:rsidR="001836B9" w:rsidRPr="001836B9" w:rsidRDefault="001836B9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519" w:type="dxa"/>
            <w:hideMark/>
          </w:tcPr>
          <w:p w14:paraId="67D9248B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$0.38 </w:t>
            </w:r>
          </w:p>
        </w:tc>
        <w:tc>
          <w:tcPr>
            <w:tcW w:w="1525" w:type="dxa"/>
            <w:hideMark/>
          </w:tcPr>
          <w:p w14:paraId="105BD239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$0.68 </w:t>
            </w:r>
          </w:p>
        </w:tc>
        <w:tc>
          <w:tcPr>
            <w:tcW w:w="1265" w:type="dxa"/>
            <w:hideMark/>
          </w:tcPr>
          <w:p w14:paraId="2D9C9380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604" w:type="dxa"/>
            <w:vMerge w:val="restart"/>
            <w:vAlign w:val="center"/>
            <w:hideMark/>
          </w:tcPr>
          <w:p w14:paraId="6AD35137" w14:textId="77777777" w:rsidR="001836B9" w:rsidRPr="001836B9" w:rsidRDefault="001836B9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$25.92 </w:t>
            </w:r>
          </w:p>
        </w:tc>
        <w:tc>
          <w:tcPr>
            <w:tcW w:w="1554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14:paraId="47DFA244" w14:textId="77777777" w:rsidR="001836B9" w:rsidRPr="001836B9" w:rsidRDefault="001836B9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32</w:t>
            </w:r>
          </w:p>
        </w:tc>
      </w:tr>
      <w:tr w:rsidR="001836B9" w:rsidRPr="001836B9" w14:paraId="3B4D430B" w14:textId="77777777" w:rsidTr="00A068F4">
        <w:trPr>
          <w:trHeight w:val="312"/>
        </w:trPr>
        <w:tc>
          <w:tcPr>
            <w:tcW w:w="1224" w:type="dxa"/>
            <w:tcBorders>
              <w:left w:val="single" w:sz="12" w:space="0" w:color="auto"/>
            </w:tcBorders>
            <w:hideMark/>
          </w:tcPr>
          <w:p w14:paraId="46296ECA" w14:textId="77777777" w:rsidR="001836B9" w:rsidRPr="001836B9" w:rsidRDefault="001836B9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519" w:type="dxa"/>
            <w:hideMark/>
          </w:tcPr>
          <w:p w14:paraId="3E8C0364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$0.45 </w:t>
            </w:r>
          </w:p>
        </w:tc>
        <w:tc>
          <w:tcPr>
            <w:tcW w:w="1525" w:type="dxa"/>
            <w:hideMark/>
          </w:tcPr>
          <w:p w14:paraId="1C6ADC29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$0.81 </w:t>
            </w:r>
          </w:p>
        </w:tc>
        <w:tc>
          <w:tcPr>
            <w:tcW w:w="1265" w:type="dxa"/>
            <w:hideMark/>
          </w:tcPr>
          <w:p w14:paraId="4A8CD9A6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604" w:type="dxa"/>
            <w:vMerge/>
            <w:vAlign w:val="center"/>
            <w:hideMark/>
          </w:tcPr>
          <w:p w14:paraId="18869D75" w14:textId="77777777" w:rsidR="001836B9" w:rsidRPr="001836B9" w:rsidRDefault="001836B9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7F535769" w14:textId="77777777" w:rsidR="001836B9" w:rsidRPr="001836B9" w:rsidRDefault="001836B9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</w:tr>
      <w:tr w:rsidR="00A068F4" w:rsidRPr="001836B9" w14:paraId="0D24C08D" w14:textId="77777777" w:rsidTr="00A068F4">
        <w:trPr>
          <w:trHeight w:val="58"/>
        </w:trPr>
        <w:tc>
          <w:tcPr>
            <w:tcW w:w="1224" w:type="dxa"/>
            <w:tcBorders>
              <w:left w:val="single" w:sz="12" w:space="0" w:color="auto"/>
            </w:tcBorders>
            <w:noWrap/>
            <w:hideMark/>
          </w:tcPr>
          <w:p w14:paraId="1E11C60E" w14:textId="77777777" w:rsidR="00A068F4" w:rsidRPr="001836B9" w:rsidRDefault="00A068F4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2AE7BE62" w14:textId="77777777" w:rsidR="00A068F4" w:rsidRPr="001836B9" w:rsidRDefault="00A068F4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177F9164" w14:textId="77777777" w:rsidR="00A068F4" w:rsidRPr="001836B9" w:rsidRDefault="00A068F4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noWrap/>
            <w:hideMark/>
          </w:tcPr>
          <w:p w14:paraId="13F9705D" w14:textId="77777777" w:rsidR="00A068F4" w:rsidRPr="001836B9" w:rsidRDefault="00A068F4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vMerge w:val="restart"/>
            <w:noWrap/>
            <w:vAlign w:val="center"/>
            <w:hideMark/>
          </w:tcPr>
          <w:p w14:paraId="1B353944" w14:textId="77777777" w:rsidR="00A068F4" w:rsidRPr="001836B9" w:rsidRDefault="00A068F4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  <w:p w14:paraId="63585AC0" w14:textId="63E2A850" w:rsidR="00A068F4" w:rsidRPr="001836B9" w:rsidRDefault="00A068F4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14:paraId="7D173D83" w14:textId="77777777" w:rsidR="00A068F4" w:rsidRPr="001836B9" w:rsidRDefault="00A068F4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  <w:p w14:paraId="4F9E7614" w14:textId="7F9FC82B" w:rsidR="00A068F4" w:rsidRPr="001836B9" w:rsidRDefault="00A068F4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</w:tr>
      <w:tr w:rsidR="00A068F4" w:rsidRPr="001836B9" w14:paraId="14ABA402" w14:textId="77777777" w:rsidTr="00A068F4">
        <w:trPr>
          <w:trHeight w:val="312"/>
        </w:trPr>
        <w:tc>
          <w:tcPr>
            <w:tcW w:w="1224" w:type="dxa"/>
            <w:tcBorders>
              <w:left w:val="single" w:sz="12" w:space="0" w:color="auto"/>
            </w:tcBorders>
            <w:hideMark/>
          </w:tcPr>
          <w:p w14:paraId="55FB882F" w14:textId="77777777" w:rsidR="00A068F4" w:rsidRPr="001836B9" w:rsidRDefault="00A068F4" w:rsidP="001836B9">
            <w:pP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SoCalGas</w:t>
            </w:r>
          </w:p>
        </w:tc>
        <w:tc>
          <w:tcPr>
            <w:tcW w:w="1519" w:type="dxa"/>
            <w:noWrap/>
            <w:hideMark/>
          </w:tcPr>
          <w:p w14:paraId="2DA45E4C" w14:textId="77777777" w:rsidR="00A068F4" w:rsidRPr="001836B9" w:rsidRDefault="00A068F4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15C260AE" w14:textId="77777777" w:rsidR="00A068F4" w:rsidRPr="001836B9" w:rsidRDefault="00A068F4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noWrap/>
            <w:hideMark/>
          </w:tcPr>
          <w:p w14:paraId="5D03A93C" w14:textId="77777777" w:rsidR="00A068F4" w:rsidRPr="001836B9" w:rsidRDefault="00A068F4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vMerge/>
            <w:noWrap/>
            <w:vAlign w:val="center"/>
            <w:hideMark/>
          </w:tcPr>
          <w:p w14:paraId="70803B36" w14:textId="77B94FBF" w:rsidR="00A068F4" w:rsidRPr="001836B9" w:rsidRDefault="00A068F4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right w:val="single" w:sz="12" w:space="0" w:color="auto"/>
            </w:tcBorders>
            <w:noWrap/>
            <w:vAlign w:val="center"/>
            <w:hideMark/>
          </w:tcPr>
          <w:p w14:paraId="026C6D59" w14:textId="282A62A6" w:rsidR="00A068F4" w:rsidRPr="001836B9" w:rsidRDefault="00A068F4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</w:tr>
      <w:tr w:rsidR="001836B9" w:rsidRPr="001836B9" w14:paraId="71EC4836" w14:textId="77777777" w:rsidTr="00A068F4">
        <w:trPr>
          <w:trHeight w:val="312"/>
        </w:trPr>
        <w:tc>
          <w:tcPr>
            <w:tcW w:w="1224" w:type="dxa"/>
            <w:tcBorders>
              <w:left w:val="single" w:sz="12" w:space="0" w:color="auto"/>
            </w:tcBorders>
            <w:hideMark/>
          </w:tcPr>
          <w:p w14:paraId="17BFAECF" w14:textId="77777777" w:rsidR="001836B9" w:rsidRPr="001836B9" w:rsidRDefault="001836B9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519" w:type="dxa"/>
            <w:noWrap/>
            <w:hideMark/>
          </w:tcPr>
          <w:p w14:paraId="2FA1E9A8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25" w:type="dxa"/>
            <w:noWrap/>
            <w:hideMark/>
          </w:tcPr>
          <w:p w14:paraId="718D9D2E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65" w:type="dxa"/>
            <w:noWrap/>
            <w:hideMark/>
          </w:tcPr>
          <w:p w14:paraId="60D3F508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128%</w:t>
            </w:r>
          </w:p>
        </w:tc>
        <w:tc>
          <w:tcPr>
            <w:tcW w:w="1604" w:type="dxa"/>
            <w:vMerge w:val="restart"/>
            <w:noWrap/>
            <w:vAlign w:val="center"/>
            <w:hideMark/>
          </w:tcPr>
          <w:p w14:paraId="3E6C0F8B" w14:textId="77777777" w:rsidR="001836B9" w:rsidRPr="001836B9" w:rsidRDefault="001836B9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$21.05 </w:t>
            </w:r>
          </w:p>
        </w:tc>
        <w:tc>
          <w:tcPr>
            <w:tcW w:w="1554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14:paraId="529D26F4" w14:textId="77777777" w:rsidR="001836B9" w:rsidRPr="001836B9" w:rsidRDefault="001836B9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33</w:t>
            </w:r>
          </w:p>
        </w:tc>
      </w:tr>
      <w:tr w:rsidR="001836B9" w:rsidRPr="001836B9" w14:paraId="1B1A9E5A" w14:textId="77777777" w:rsidTr="00A068F4">
        <w:trPr>
          <w:trHeight w:val="312"/>
        </w:trPr>
        <w:tc>
          <w:tcPr>
            <w:tcW w:w="1224" w:type="dxa"/>
            <w:tcBorders>
              <w:left w:val="single" w:sz="12" w:space="0" w:color="auto"/>
            </w:tcBorders>
            <w:hideMark/>
          </w:tcPr>
          <w:p w14:paraId="109B3D33" w14:textId="77777777" w:rsidR="001836B9" w:rsidRPr="001836B9" w:rsidRDefault="001836B9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519" w:type="dxa"/>
            <w:noWrap/>
            <w:hideMark/>
          </w:tcPr>
          <w:p w14:paraId="2E87917D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525" w:type="dxa"/>
            <w:noWrap/>
            <w:hideMark/>
          </w:tcPr>
          <w:p w14:paraId="21E53896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65" w:type="dxa"/>
            <w:noWrap/>
            <w:hideMark/>
          </w:tcPr>
          <w:p w14:paraId="71B8939A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604" w:type="dxa"/>
            <w:vMerge/>
            <w:vAlign w:val="center"/>
            <w:hideMark/>
          </w:tcPr>
          <w:p w14:paraId="5103753A" w14:textId="77777777" w:rsidR="001836B9" w:rsidRPr="001836B9" w:rsidRDefault="001836B9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0CB51CB2" w14:textId="77777777" w:rsidR="001836B9" w:rsidRPr="001836B9" w:rsidRDefault="001836B9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</w:tr>
      <w:tr w:rsidR="00A068F4" w:rsidRPr="001836B9" w14:paraId="36CAC075" w14:textId="77777777" w:rsidTr="00A068F4">
        <w:trPr>
          <w:trHeight w:val="89"/>
        </w:trPr>
        <w:tc>
          <w:tcPr>
            <w:tcW w:w="1224" w:type="dxa"/>
            <w:tcBorders>
              <w:left w:val="single" w:sz="12" w:space="0" w:color="auto"/>
            </w:tcBorders>
            <w:noWrap/>
            <w:hideMark/>
          </w:tcPr>
          <w:p w14:paraId="67399352" w14:textId="77777777" w:rsidR="00A068F4" w:rsidRPr="001836B9" w:rsidRDefault="00A068F4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26D5AC93" w14:textId="77777777" w:rsidR="00A068F4" w:rsidRPr="001836B9" w:rsidRDefault="00A068F4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6E4A3993" w14:textId="77777777" w:rsidR="00A068F4" w:rsidRPr="001836B9" w:rsidRDefault="00A068F4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noWrap/>
            <w:hideMark/>
          </w:tcPr>
          <w:p w14:paraId="308FA2C1" w14:textId="77777777" w:rsidR="00A068F4" w:rsidRPr="001836B9" w:rsidRDefault="00A068F4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vMerge w:val="restart"/>
            <w:noWrap/>
            <w:vAlign w:val="center"/>
            <w:hideMark/>
          </w:tcPr>
          <w:p w14:paraId="1163A4C0" w14:textId="77777777" w:rsidR="00A068F4" w:rsidRPr="001836B9" w:rsidRDefault="00A068F4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14:paraId="4098EB53" w14:textId="77777777" w:rsidR="00A068F4" w:rsidRPr="001836B9" w:rsidRDefault="00A068F4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  <w:p w14:paraId="36B41D09" w14:textId="45889A15" w:rsidR="00A068F4" w:rsidRPr="001836B9" w:rsidRDefault="00A068F4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</w:tr>
      <w:tr w:rsidR="00A068F4" w:rsidRPr="001836B9" w14:paraId="742B6D3D" w14:textId="77777777" w:rsidTr="00A068F4">
        <w:trPr>
          <w:trHeight w:val="312"/>
        </w:trPr>
        <w:tc>
          <w:tcPr>
            <w:tcW w:w="1224" w:type="dxa"/>
            <w:tcBorders>
              <w:left w:val="single" w:sz="12" w:space="0" w:color="auto"/>
            </w:tcBorders>
            <w:hideMark/>
          </w:tcPr>
          <w:p w14:paraId="1B460858" w14:textId="77777777" w:rsidR="00A068F4" w:rsidRPr="001836B9" w:rsidRDefault="00A068F4" w:rsidP="001836B9">
            <w:pP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SDG&amp;E</w:t>
            </w:r>
          </w:p>
        </w:tc>
        <w:tc>
          <w:tcPr>
            <w:tcW w:w="1519" w:type="dxa"/>
            <w:noWrap/>
            <w:hideMark/>
          </w:tcPr>
          <w:p w14:paraId="68BAE884" w14:textId="77777777" w:rsidR="00A068F4" w:rsidRPr="001836B9" w:rsidRDefault="00A068F4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6576F3E8" w14:textId="77777777" w:rsidR="00A068F4" w:rsidRPr="001836B9" w:rsidRDefault="00A068F4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noWrap/>
            <w:hideMark/>
          </w:tcPr>
          <w:p w14:paraId="1F77F0F6" w14:textId="77777777" w:rsidR="00A068F4" w:rsidRPr="001836B9" w:rsidRDefault="00A068F4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vMerge/>
            <w:vAlign w:val="center"/>
            <w:hideMark/>
          </w:tcPr>
          <w:p w14:paraId="5763D380" w14:textId="77777777" w:rsidR="00A068F4" w:rsidRPr="001836B9" w:rsidRDefault="00A068F4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right w:val="single" w:sz="12" w:space="0" w:color="auto"/>
            </w:tcBorders>
            <w:noWrap/>
            <w:vAlign w:val="center"/>
            <w:hideMark/>
          </w:tcPr>
          <w:p w14:paraId="2BB5AFF1" w14:textId="0F6213A9" w:rsidR="00A068F4" w:rsidRPr="001836B9" w:rsidRDefault="00A068F4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</w:tr>
      <w:tr w:rsidR="001836B9" w:rsidRPr="001836B9" w14:paraId="40CBE36E" w14:textId="77777777" w:rsidTr="00A068F4">
        <w:trPr>
          <w:trHeight w:val="312"/>
        </w:trPr>
        <w:tc>
          <w:tcPr>
            <w:tcW w:w="1224" w:type="dxa"/>
            <w:tcBorders>
              <w:left w:val="single" w:sz="12" w:space="0" w:color="auto"/>
            </w:tcBorders>
            <w:hideMark/>
          </w:tcPr>
          <w:p w14:paraId="410AC24F" w14:textId="77777777" w:rsidR="001836B9" w:rsidRPr="001836B9" w:rsidRDefault="001836B9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519" w:type="dxa"/>
            <w:noWrap/>
            <w:hideMark/>
          </w:tcPr>
          <w:p w14:paraId="54CD21FF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25" w:type="dxa"/>
            <w:noWrap/>
            <w:hideMark/>
          </w:tcPr>
          <w:p w14:paraId="5C9E108C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65" w:type="dxa"/>
            <w:noWrap/>
            <w:hideMark/>
          </w:tcPr>
          <w:p w14:paraId="36EDADB1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128%</w:t>
            </w:r>
          </w:p>
        </w:tc>
        <w:tc>
          <w:tcPr>
            <w:tcW w:w="1604" w:type="dxa"/>
            <w:vMerge w:val="restart"/>
            <w:noWrap/>
            <w:vAlign w:val="center"/>
            <w:hideMark/>
          </w:tcPr>
          <w:p w14:paraId="572D292E" w14:textId="77777777" w:rsidR="001836B9" w:rsidRPr="001836B9" w:rsidRDefault="001836B9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 xml:space="preserve">$14.69 </w:t>
            </w:r>
          </w:p>
        </w:tc>
        <w:tc>
          <w:tcPr>
            <w:tcW w:w="1554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14:paraId="7A91A74B" w14:textId="77777777" w:rsidR="001836B9" w:rsidRPr="001836B9" w:rsidRDefault="001836B9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23</w:t>
            </w:r>
          </w:p>
        </w:tc>
      </w:tr>
      <w:tr w:rsidR="001836B9" w:rsidRPr="001836B9" w14:paraId="16CB79FF" w14:textId="77777777" w:rsidTr="00A068F4">
        <w:trPr>
          <w:trHeight w:val="312"/>
        </w:trPr>
        <w:tc>
          <w:tcPr>
            <w:tcW w:w="1224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68E0BE1D" w14:textId="77777777" w:rsidR="001836B9" w:rsidRPr="001836B9" w:rsidRDefault="001836B9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519" w:type="dxa"/>
            <w:tcBorders>
              <w:bottom w:val="single" w:sz="12" w:space="0" w:color="auto"/>
            </w:tcBorders>
            <w:noWrap/>
            <w:hideMark/>
          </w:tcPr>
          <w:p w14:paraId="10EA3F7F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525" w:type="dxa"/>
            <w:tcBorders>
              <w:bottom w:val="single" w:sz="12" w:space="0" w:color="auto"/>
            </w:tcBorders>
            <w:noWrap/>
            <w:hideMark/>
          </w:tcPr>
          <w:p w14:paraId="0592A044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65" w:type="dxa"/>
            <w:tcBorders>
              <w:bottom w:val="single" w:sz="12" w:space="0" w:color="auto"/>
            </w:tcBorders>
            <w:noWrap/>
            <w:hideMark/>
          </w:tcPr>
          <w:p w14:paraId="651AFBDC" w14:textId="77777777" w:rsidR="001836B9" w:rsidRPr="001836B9" w:rsidRDefault="001836B9" w:rsidP="001836B9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1836B9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604" w:type="dxa"/>
            <w:vMerge/>
            <w:tcBorders>
              <w:bottom w:val="single" w:sz="12" w:space="0" w:color="auto"/>
            </w:tcBorders>
            <w:hideMark/>
          </w:tcPr>
          <w:p w14:paraId="573D18BD" w14:textId="77777777" w:rsidR="001836B9" w:rsidRPr="001836B9" w:rsidRDefault="001836B9" w:rsidP="001836B9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EAE120" w14:textId="77777777" w:rsidR="001836B9" w:rsidRPr="001836B9" w:rsidRDefault="001836B9" w:rsidP="00A068F4">
            <w:pPr>
              <w:jc w:val="right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</w:p>
        </w:tc>
      </w:tr>
    </w:tbl>
    <w:p w14:paraId="0A94A043" w14:textId="7D462C1D" w:rsidR="001836B9" w:rsidRDefault="001836B9">
      <w:pPr>
        <w:rPr>
          <w:rFonts w:ascii="Garamond" w:hAnsi="Garamond"/>
          <w:sz w:val="24"/>
          <w:szCs w:val="24"/>
          <w:u w:val="single"/>
        </w:rPr>
      </w:pPr>
    </w:p>
    <w:p w14:paraId="0817580A" w14:textId="5E110B42" w:rsidR="00FC65C6" w:rsidRPr="00FC65C6" w:rsidRDefault="00FC65C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Below are some notes about natural gas procurement:</w:t>
      </w:r>
    </w:p>
    <w:p w14:paraId="5276E0ED" w14:textId="77777777" w:rsidR="00FC65C6" w:rsidRDefault="008A3811" w:rsidP="001836B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1836B9" w:rsidRPr="001836B9">
        <w:rPr>
          <w:rFonts w:ascii="Garamond" w:hAnsi="Garamond"/>
          <w:sz w:val="24"/>
          <w:szCs w:val="24"/>
        </w:rPr>
        <w:t>rocurement costs include the various costs associated with procuring natural gas supplies for a utility’s core gas customers, such as the cost of the commodity, interstate pipeline capacity costs, hedging costs, and other costs.</w:t>
      </w:r>
    </w:p>
    <w:p w14:paraId="3D90329B" w14:textId="791FC288" w:rsidR="001836B9" w:rsidRPr="001836B9" w:rsidRDefault="001836B9" w:rsidP="00FC65C6">
      <w:pPr>
        <w:pStyle w:val="ListParagraph"/>
        <w:rPr>
          <w:rFonts w:ascii="Garamond" w:hAnsi="Garamond"/>
          <w:sz w:val="24"/>
          <w:szCs w:val="24"/>
        </w:rPr>
      </w:pPr>
      <w:r w:rsidRPr="001836B9">
        <w:rPr>
          <w:rFonts w:ascii="Garamond" w:hAnsi="Garamond"/>
          <w:sz w:val="24"/>
          <w:szCs w:val="24"/>
        </w:rPr>
        <w:t xml:space="preserve"> </w:t>
      </w:r>
    </w:p>
    <w:p w14:paraId="67CEE870" w14:textId="2BE4DF80" w:rsidR="001836B9" w:rsidRPr="001836B9" w:rsidRDefault="001836B9" w:rsidP="001836B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836B9">
        <w:rPr>
          <w:rFonts w:ascii="Garamond" w:hAnsi="Garamond"/>
          <w:sz w:val="24"/>
          <w:szCs w:val="24"/>
        </w:rPr>
        <w:t>Procurement rate</w:t>
      </w:r>
      <w:r w:rsidR="009C5767">
        <w:rPr>
          <w:rFonts w:ascii="Garamond" w:hAnsi="Garamond"/>
          <w:sz w:val="24"/>
          <w:szCs w:val="24"/>
        </w:rPr>
        <w:t>s</w:t>
      </w:r>
      <w:r w:rsidRPr="001836B9">
        <w:rPr>
          <w:rFonts w:ascii="Garamond" w:hAnsi="Garamond"/>
          <w:sz w:val="24"/>
          <w:szCs w:val="24"/>
        </w:rPr>
        <w:t xml:space="preserve"> change every month thr</w:t>
      </w:r>
      <w:r w:rsidR="00FC65C6">
        <w:rPr>
          <w:rFonts w:ascii="Garamond" w:hAnsi="Garamond"/>
          <w:sz w:val="24"/>
          <w:szCs w:val="24"/>
        </w:rPr>
        <w:t>ough</w:t>
      </w:r>
      <w:r w:rsidRPr="001836B9">
        <w:rPr>
          <w:rFonts w:ascii="Garamond" w:hAnsi="Garamond"/>
          <w:sz w:val="24"/>
          <w:szCs w:val="24"/>
        </w:rPr>
        <w:t xml:space="preserve"> advice letter filing</w:t>
      </w:r>
      <w:r w:rsidR="00220792">
        <w:rPr>
          <w:rFonts w:ascii="Garamond" w:hAnsi="Garamond"/>
          <w:sz w:val="24"/>
          <w:szCs w:val="24"/>
        </w:rPr>
        <w:t>s</w:t>
      </w:r>
      <w:r w:rsidRPr="001836B9">
        <w:rPr>
          <w:rFonts w:ascii="Garamond" w:hAnsi="Garamond"/>
          <w:sz w:val="24"/>
          <w:szCs w:val="24"/>
        </w:rPr>
        <w:t>. Utilities purchase natural gas through wholesale gas markets</w:t>
      </w:r>
      <w:r w:rsidR="00FC65C6">
        <w:rPr>
          <w:rFonts w:ascii="Garamond" w:hAnsi="Garamond"/>
          <w:sz w:val="24"/>
          <w:szCs w:val="24"/>
        </w:rPr>
        <w:t xml:space="preserve">, the costs of </w:t>
      </w:r>
      <w:r w:rsidRPr="001836B9">
        <w:rPr>
          <w:rFonts w:ascii="Garamond" w:hAnsi="Garamond"/>
          <w:sz w:val="24"/>
          <w:szCs w:val="24"/>
        </w:rPr>
        <w:t>which fluctuate month to month based on national gas market prices.</w:t>
      </w:r>
    </w:p>
    <w:p w14:paraId="2E3B3868" w14:textId="65C43C92" w:rsidR="001836B9" w:rsidRPr="001836B9" w:rsidRDefault="001836B9" w:rsidP="001836B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u w:val="single"/>
        </w:rPr>
      </w:pPr>
      <w:r w:rsidRPr="001836B9">
        <w:rPr>
          <w:rFonts w:ascii="Garamond" w:hAnsi="Garamond"/>
          <w:sz w:val="24"/>
          <w:szCs w:val="24"/>
        </w:rPr>
        <w:lastRenderedPageBreak/>
        <w:t xml:space="preserve">Gas </w:t>
      </w:r>
      <w:r w:rsidR="00FC65C6">
        <w:rPr>
          <w:rFonts w:ascii="Garamond" w:hAnsi="Garamond"/>
          <w:sz w:val="24"/>
          <w:szCs w:val="24"/>
        </w:rPr>
        <w:t xml:space="preserve">commodity </w:t>
      </w:r>
      <w:r w:rsidRPr="001836B9">
        <w:rPr>
          <w:rFonts w:ascii="Garamond" w:hAnsi="Garamond"/>
          <w:sz w:val="24"/>
          <w:szCs w:val="24"/>
        </w:rPr>
        <w:t>procurement accounts for 20% of an average usage residential customer gas bill.</w:t>
      </w:r>
    </w:p>
    <w:p w14:paraId="3FB3800F" w14:textId="77777777" w:rsidR="001836B9" w:rsidRPr="001836B9" w:rsidRDefault="001836B9" w:rsidP="001836B9">
      <w:pPr>
        <w:pStyle w:val="ListParagraph"/>
        <w:rPr>
          <w:rFonts w:ascii="Garamond" w:eastAsia="Rockwell" w:hAnsi="Garamond" w:cs="Calibri"/>
          <w:sz w:val="24"/>
          <w:szCs w:val="24"/>
        </w:rPr>
      </w:pPr>
    </w:p>
    <w:p w14:paraId="69F59CA7" w14:textId="7E05BBF7" w:rsidR="001836B9" w:rsidRDefault="00245E9C" w:rsidP="001836B9">
      <w:pPr>
        <w:pStyle w:val="PlainText"/>
        <w:numPr>
          <w:ilvl w:val="0"/>
          <w:numId w:val="1"/>
        </w:numPr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To illustrate gas market prices, </w:t>
      </w:r>
      <w:r w:rsidR="000D5FC1">
        <w:rPr>
          <w:rFonts w:ascii="Garamond" w:eastAsia="Times New Roman" w:hAnsi="Garamond"/>
          <w:sz w:val="24"/>
          <w:szCs w:val="24"/>
        </w:rPr>
        <w:t xml:space="preserve">between 2020 and 2021 </w:t>
      </w:r>
      <w:r w:rsidR="001836B9" w:rsidRPr="001836B9">
        <w:rPr>
          <w:rFonts w:ascii="Garamond" w:eastAsia="Times New Roman" w:hAnsi="Garamond"/>
          <w:sz w:val="24"/>
          <w:szCs w:val="24"/>
        </w:rPr>
        <w:t>Henry Hub</w:t>
      </w:r>
      <w:r w:rsidR="00593C88">
        <w:rPr>
          <w:rFonts w:ascii="Garamond" w:eastAsia="Times New Roman" w:hAnsi="Garamond"/>
          <w:sz w:val="24"/>
          <w:szCs w:val="24"/>
        </w:rPr>
        <w:t xml:space="preserve"> gas</w:t>
      </w:r>
      <w:r w:rsidR="001836B9" w:rsidRPr="001836B9">
        <w:rPr>
          <w:rFonts w:ascii="Garamond" w:eastAsia="Times New Roman" w:hAnsi="Garamond"/>
          <w:sz w:val="24"/>
          <w:szCs w:val="24"/>
        </w:rPr>
        <w:t xml:space="preserve"> prices increased by 79%, 219% and 75% </w:t>
      </w:r>
      <w:r>
        <w:rPr>
          <w:rFonts w:ascii="Garamond" w:eastAsia="Times New Roman" w:hAnsi="Garamond"/>
          <w:sz w:val="24"/>
          <w:szCs w:val="24"/>
        </w:rPr>
        <w:t>for the months of August, September, and October, respectively</w:t>
      </w:r>
      <w:r w:rsidR="000D5FC1" w:rsidRPr="000D5FC1">
        <w:rPr>
          <w:rFonts w:ascii="Garamond" w:eastAsia="Times New Roman" w:hAnsi="Garamond"/>
          <w:sz w:val="24"/>
          <w:szCs w:val="24"/>
        </w:rPr>
        <w:t xml:space="preserve"> </w:t>
      </w:r>
      <w:r w:rsidR="000D5FC1">
        <w:rPr>
          <w:rFonts w:ascii="Garamond" w:eastAsia="Times New Roman" w:hAnsi="Garamond"/>
          <w:sz w:val="24"/>
          <w:szCs w:val="24"/>
        </w:rPr>
        <w:t xml:space="preserve">as </w:t>
      </w:r>
      <w:r w:rsidR="000D5FC1" w:rsidRPr="001836B9">
        <w:rPr>
          <w:rFonts w:ascii="Garamond" w:eastAsia="Times New Roman" w:hAnsi="Garamond"/>
          <w:sz w:val="24"/>
          <w:szCs w:val="24"/>
        </w:rPr>
        <w:t xml:space="preserve">reflected in the </w:t>
      </w:r>
      <w:r w:rsidR="000D5FC1">
        <w:rPr>
          <w:rFonts w:ascii="Garamond" w:eastAsia="Times New Roman" w:hAnsi="Garamond"/>
          <w:sz w:val="24"/>
          <w:szCs w:val="24"/>
        </w:rPr>
        <w:t>table</w:t>
      </w:r>
      <w:r w:rsidR="000D5FC1" w:rsidRPr="001836B9">
        <w:rPr>
          <w:rFonts w:ascii="Garamond" w:eastAsia="Times New Roman" w:hAnsi="Garamond"/>
          <w:sz w:val="24"/>
          <w:szCs w:val="24"/>
        </w:rPr>
        <w:t xml:space="preserve"> </w:t>
      </w:r>
      <w:r w:rsidR="000D5FC1">
        <w:rPr>
          <w:rFonts w:ascii="Garamond" w:eastAsia="Times New Roman" w:hAnsi="Garamond"/>
          <w:sz w:val="24"/>
          <w:szCs w:val="24"/>
        </w:rPr>
        <w:t>below</w:t>
      </w:r>
      <w:r w:rsidR="001836B9" w:rsidRPr="001836B9">
        <w:rPr>
          <w:rFonts w:ascii="Garamond" w:eastAsia="Times New Roman" w:hAnsi="Garamond"/>
          <w:sz w:val="24"/>
          <w:szCs w:val="24"/>
        </w:rPr>
        <w:t xml:space="preserve">. The wholesale price of natural gas is driving California’s natural gas price trends in September – November 2021. </w:t>
      </w:r>
    </w:p>
    <w:p w14:paraId="5580471A" w14:textId="238F9BA2" w:rsidR="00245E9C" w:rsidRDefault="00245E9C" w:rsidP="00245E9C">
      <w:pPr>
        <w:pStyle w:val="ListParagraph"/>
        <w:rPr>
          <w:rFonts w:ascii="Garamond" w:eastAsia="Times New Roman" w:hAnsi="Garamond"/>
          <w:sz w:val="24"/>
          <w:szCs w:val="24"/>
        </w:rPr>
      </w:pPr>
    </w:p>
    <w:p w14:paraId="57525BE9" w14:textId="78BBACA3" w:rsidR="00593C88" w:rsidRPr="00E63BE6" w:rsidRDefault="00593C88" w:rsidP="00245E9C">
      <w:pPr>
        <w:pStyle w:val="ListParagraph"/>
        <w:rPr>
          <w:rFonts w:ascii="Garamond" w:eastAsia="Times New Roman" w:hAnsi="Garamond"/>
          <w:b/>
          <w:bCs/>
          <w:sz w:val="24"/>
          <w:szCs w:val="24"/>
        </w:rPr>
      </w:pPr>
      <w:r w:rsidRPr="00E63BE6">
        <w:rPr>
          <w:rFonts w:ascii="Garamond" w:eastAsia="Times New Roman" w:hAnsi="Garamond"/>
          <w:b/>
          <w:bCs/>
          <w:sz w:val="24"/>
          <w:szCs w:val="24"/>
        </w:rPr>
        <w:t xml:space="preserve">Comparison of Henry Hub Gas Prices from 2020 to 2021 for August to October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0"/>
        <w:gridCol w:w="2148"/>
        <w:gridCol w:w="2148"/>
        <w:gridCol w:w="2004"/>
      </w:tblGrid>
      <w:tr w:rsidR="00593C88" w14:paraId="18AF9006" w14:textId="355078A7" w:rsidTr="005E1557">
        <w:tc>
          <w:tcPr>
            <w:tcW w:w="2330" w:type="dxa"/>
          </w:tcPr>
          <w:p w14:paraId="20ED3412" w14:textId="77777777" w:rsidR="00593C88" w:rsidRDefault="00593C88" w:rsidP="00245E9C">
            <w:pPr>
              <w:pStyle w:val="ListParagraph"/>
              <w:ind w:left="0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148" w:type="dxa"/>
          </w:tcPr>
          <w:p w14:paraId="46F3539B" w14:textId="1518CC51" w:rsidR="00593C88" w:rsidRDefault="00593C88" w:rsidP="00245E9C">
            <w:pPr>
              <w:pStyle w:val="ListParagraph"/>
              <w:ind w:left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2020</w:t>
            </w:r>
          </w:p>
        </w:tc>
        <w:tc>
          <w:tcPr>
            <w:tcW w:w="2148" w:type="dxa"/>
          </w:tcPr>
          <w:p w14:paraId="7FDB3C91" w14:textId="2FB39549" w:rsidR="00593C88" w:rsidRDefault="00593C88" w:rsidP="00245E9C">
            <w:pPr>
              <w:pStyle w:val="ListParagraph"/>
              <w:ind w:left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2021</w:t>
            </w:r>
          </w:p>
        </w:tc>
        <w:tc>
          <w:tcPr>
            <w:tcW w:w="2004" w:type="dxa"/>
          </w:tcPr>
          <w:p w14:paraId="6B316FAA" w14:textId="152572B0" w:rsidR="00593C88" w:rsidRDefault="00593C88" w:rsidP="00245E9C">
            <w:pPr>
              <w:pStyle w:val="ListParagraph"/>
              <w:ind w:left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Percent Change</w:t>
            </w:r>
          </w:p>
        </w:tc>
      </w:tr>
      <w:tr w:rsidR="00593C88" w14:paraId="7778E69B" w14:textId="6295B428" w:rsidTr="005E1557">
        <w:tc>
          <w:tcPr>
            <w:tcW w:w="2330" w:type="dxa"/>
          </w:tcPr>
          <w:p w14:paraId="2234E7B6" w14:textId="7E2DDAFC" w:rsidR="00593C88" w:rsidRDefault="00593C88" w:rsidP="00245E9C">
            <w:pPr>
              <w:pStyle w:val="ListParagraph"/>
              <w:ind w:left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8/1/2020</w:t>
            </w:r>
          </w:p>
        </w:tc>
        <w:tc>
          <w:tcPr>
            <w:tcW w:w="2148" w:type="dxa"/>
          </w:tcPr>
          <w:p w14:paraId="62A9E710" w14:textId="7B9B3CCC" w:rsidR="00593C88" w:rsidRDefault="007E2D8F" w:rsidP="00245E9C">
            <w:pPr>
              <w:pStyle w:val="ListParagraph"/>
              <w:ind w:left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$</w:t>
            </w:r>
            <w:r w:rsidR="00593C88">
              <w:rPr>
                <w:rFonts w:ascii="Garamond" w:eastAsia="Times New Roman" w:hAnsi="Garamond"/>
                <w:sz w:val="24"/>
                <w:szCs w:val="24"/>
              </w:rPr>
              <w:t>2.43</w:t>
            </w:r>
          </w:p>
        </w:tc>
        <w:tc>
          <w:tcPr>
            <w:tcW w:w="2148" w:type="dxa"/>
          </w:tcPr>
          <w:p w14:paraId="2B1248A0" w14:textId="0D784DC2" w:rsidR="00593C88" w:rsidRDefault="007E2D8F" w:rsidP="00245E9C">
            <w:pPr>
              <w:pStyle w:val="ListParagraph"/>
              <w:ind w:left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$</w:t>
            </w:r>
            <w:r w:rsidR="00593C88">
              <w:rPr>
                <w:rFonts w:ascii="Garamond" w:eastAsia="Times New Roman" w:hAnsi="Garamond"/>
                <w:sz w:val="24"/>
                <w:szCs w:val="24"/>
              </w:rPr>
              <w:t>4.34</w:t>
            </w:r>
          </w:p>
        </w:tc>
        <w:tc>
          <w:tcPr>
            <w:tcW w:w="2004" w:type="dxa"/>
          </w:tcPr>
          <w:p w14:paraId="242D55D9" w14:textId="210417D6" w:rsidR="00593C88" w:rsidRDefault="00593C88" w:rsidP="00245E9C">
            <w:pPr>
              <w:pStyle w:val="ListParagraph"/>
              <w:ind w:left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+79%</w:t>
            </w:r>
          </w:p>
        </w:tc>
      </w:tr>
      <w:tr w:rsidR="00593C88" w14:paraId="0713E9F4" w14:textId="7A432E36" w:rsidTr="005E1557">
        <w:tc>
          <w:tcPr>
            <w:tcW w:w="2330" w:type="dxa"/>
          </w:tcPr>
          <w:p w14:paraId="7433C942" w14:textId="23879768" w:rsidR="00593C88" w:rsidRDefault="00593C88" w:rsidP="00245E9C">
            <w:pPr>
              <w:pStyle w:val="ListParagraph"/>
              <w:ind w:left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9/1/2020</w:t>
            </w:r>
          </w:p>
        </w:tc>
        <w:tc>
          <w:tcPr>
            <w:tcW w:w="2148" w:type="dxa"/>
          </w:tcPr>
          <w:p w14:paraId="01BCDA0C" w14:textId="5B4BB177" w:rsidR="00593C88" w:rsidRDefault="007E2D8F" w:rsidP="00245E9C">
            <w:pPr>
              <w:pStyle w:val="ListParagraph"/>
              <w:ind w:left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$</w:t>
            </w:r>
            <w:r w:rsidR="00593C88">
              <w:rPr>
                <w:rFonts w:ascii="Garamond" w:eastAsia="Times New Roman" w:hAnsi="Garamond"/>
                <w:sz w:val="24"/>
                <w:szCs w:val="24"/>
              </w:rPr>
              <w:t>1.75</w:t>
            </w:r>
          </w:p>
        </w:tc>
        <w:tc>
          <w:tcPr>
            <w:tcW w:w="2148" w:type="dxa"/>
          </w:tcPr>
          <w:p w14:paraId="4505B595" w14:textId="22D12A22" w:rsidR="00593C88" w:rsidRDefault="007E2D8F" w:rsidP="00245E9C">
            <w:pPr>
              <w:pStyle w:val="ListParagraph"/>
              <w:ind w:left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$</w:t>
            </w:r>
            <w:r w:rsidR="00593C88">
              <w:rPr>
                <w:rFonts w:ascii="Garamond" w:eastAsia="Times New Roman" w:hAnsi="Garamond"/>
                <w:sz w:val="24"/>
                <w:szCs w:val="24"/>
              </w:rPr>
              <w:t>5.58</w:t>
            </w:r>
          </w:p>
        </w:tc>
        <w:tc>
          <w:tcPr>
            <w:tcW w:w="2004" w:type="dxa"/>
          </w:tcPr>
          <w:p w14:paraId="7E50B949" w14:textId="469CC343" w:rsidR="00593C88" w:rsidRDefault="00593C88" w:rsidP="00245E9C">
            <w:pPr>
              <w:pStyle w:val="ListParagraph"/>
              <w:ind w:left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+219%</w:t>
            </w:r>
          </w:p>
        </w:tc>
      </w:tr>
      <w:tr w:rsidR="00593C88" w14:paraId="169E50A2" w14:textId="77777777" w:rsidTr="00593C88">
        <w:tc>
          <w:tcPr>
            <w:tcW w:w="2330" w:type="dxa"/>
          </w:tcPr>
          <w:p w14:paraId="58A40F33" w14:textId="52257ABA" w:rsidR="00593C88" w:rsidRDefault="00593C88" w:rsidP="00245E9C">
            <w:pPr>
              <w:pStyle w:val="ListParagraph"/>
              <w:ind w:left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10/1/2020</w:t>
            </w:r>
          </w:p>
        </w:tc>
        <w:tc>
          <w:tcPr>
            <w:tcW w:w="2148" w:type="dxa"/>
          </w:tcPr>
          <w:p w14:paraId="28E7F69D" w14:textId="79FCCEB4" w:rsidR="00593C88" w:rsidRDefault="007E2D8F" w:rsidP="00245E9C">
            <w:pPr>
              <w:pStyle w:val="ListParagraph"/>
              <w:ind w:left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$</w:t>
            </w:r>
            <w:r w:rsidR="00593C88">
              <w:rPr>
                <w:rFonts w:ascii="Garamond" w:eastAsia="Times New Roman" w:hAnsi="Garamond"/>
                <w:sz w:val="24"/>
                <w:szCs w:val="24"/>
              </w:rPr>
              <w:t>3.19</w:t>
            </w:r>
          </w:p>
        </w:tc>
        <w:tc>
          <w:tcPr>
            <w:tcW w:w="2148" w:type="dxa"/>
          </w:tcPr>
          <w:p w14:paraId="65ECABC4" w14:textId="7292BB82" w:rsidR="00593C88" w:rsidRDefault="007E2D8F" w:rsidP="00245E9C">
            <w:pPr>
              <w:pStyle w:val="ListParagraph"/>
              <w:ind w:left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$</w:t>
            </w:r>
            <w:r w:rsidR="00593C88">
              <w:rPr>
                <w:rFonts w:ascii="Garamond" w:eastAsia="Times New Roman" w:hAnsi="Garamond"/>
                <w:sz w:val="24"/>
                <w:szCs w:val="24"/>
              </w:rPr>
              <w:t>5.59</w:t>
            </w:r>
          </w:p>
        </w:tc>
        <w:tc>
          <w:tcPr>
            <w:tcW w:w="2004" w:type="dxa"/>
          </w:tcPr>
          <w:p w14:paraId="43866A06" w14:textId="3010344A" w:rsidR="00593C88" w:rsidRDefault="00593C88" w:rsidP="00245E9C">
            <w:pPr>
              <w:pStyle w:val="ListParagraph"/>
              <w:ind w:left="0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+75%</w:t>
            </w:r>
          </w:p>
        </w:tc>
      </w:tr>
    </w:tbl>
    <w:p w14:paraId="5375B8B6" w14:textId="77777777" w:rsidR="00593C88" w:rsidRDefault="00593C88" w:rsidP="00245E9C">
      <w:pPr>
        <w:pStyle w:val="ListParagraph"/>
        <w:rPr>
          <w:rFonts w:ascii="Garamond" w:eastAsia="Times New Roman" w:hAnsi="Garamond"/>
          <w:sz w:val="24"/>
          <w:szCs w:val="24"/>
        </w:rPr>
      </w:pPr>
    </w:p>
    <w:p w14:paraId="71409425" w14:textId="5287F0C8" w:rsidR="00245E9C" w:rsidRPr="005E1557" w:rsidRDefault="00B5145F" w:rsidP="005E1557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Henry Hub </w:t>
      </w:r>
      <w:r w:rsidR="005E1557" w:rsidRPr="005E1557">
        <w:rPr>
          <w:rFonts w:ascii="Garamond" w:hAnsi="Garamond"/>
          <w:b/>
          <w:bCs/>
          <w:sz w:val="24"/>
          <w:szCs w:val="24"/>
        </w:rPr>
        <w:t xml:space="preserve">Natural Gas </w:t>
      </w:r>
      <w:r w:rsidR="0087584C">
        <w:rPr>
          <w:rFonts w:ascii="Garamond" w:hAnsi="Garamond"/>
          <w:b/>
          <w:bCs/>
          <w:sz w:val="24"/>
          <w:szCs w:val="24"/>
        </w:rPr>
        <w:t xml:space="preserve">Price </w:t>
      </w:r>
      <w:r w:rsidR="00BF483A">
        <w:rPr>
          <w:rFonts w:ascii="Garamond" w:hAnsi="Garamond"/>
          <w:b/>
          <w:bCs/>
          <w:sz w:val="24"/>
          <w:szCs w:val="24"/>
        </w:rPr>
        <w:t xml:space="preserve">in Dollars </w:t>
      </w:r>
      <w:r w:rsidR="00136881" w:rsidRPr="00136881">
        <w:rPr>
          <w:rFonts w:ascii="Garamond" w:hAnsi="Garamond"/>
          <w:b/>
          <w:bCs/>
          <w:sz w:val="24"/>
          <w:szCs w:val="24"/>
        </w:rPr>
        <w:t>Per Million Btu</w:t>
      </w:r>
      <w:r w:rsidR="005E1557" w:rsidRPr="005E1557">
        <w:rPr>
          <w:rFonts w:ascii="Garamond" w:hAnsi="Garamond"/>
          <w:b/>
          <w:bCs/>
          <w:sz w:val="24"/>
          <w:szCs w:val="24"/>
        </w:rPr>
        <w:t xml:space="preserve"> </w:t>
      </w:r>
      <w:r w:rsidR="0087584C">
        <w:rPr>
          <w:rFonts w:ascii="Garamond" w:hAnsi="Garamond"/>
          <w:b/>
          <w:bCs/>
          <w:sz w:val="24"/>
          <w:szCs w:val="24"/>
        </w:rPr>
        <w:t>—</w:t>
      </w:r>
      <w:r w:rsidR="005E1557" w:rsidRPr="005E1557">
        <w:rPr>
          <w:rFonts w:ascii="Garamond" w:hAnsi="Garamond"/>
          <w:b/>
          <w:bCs/>
          <w:sz w:val="24"/>
          <w:szCs w:val="24"/>
        </w:rPr>
        <w:t xml:space="preserve"> Historical Chart (Last Five Years)</w:t>
      </w:r>
    </w:p>
    <w:p w14:paraId="3C229EC3" w14:textId="31E89700" w:rsidR="00245E9C" w:rsidRDefault="00B377F0" w:rsidP="005E1557">
      <w:pPr>
        <w:pStyle w:val="PlainText"/>
        <w:ind w:left="7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30902736" wp14:editId="6E972B7D">
            <wp:extent cx="5364480" cy="3276600"/>
            <wp:effectExtent l="19050" t="19050" r="2667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276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F59E70" w14:textId="63C4A51B" w:rsidR="000E0580" w:rsidRPr="005E1557" w:rsidRDefault="000E0580" w:rsidP="001836B9">
      <w:pPr>
        <w:pStyle w:val="PlainText"/>
        <w:ind w:left="720"/>
        <w:rPr>
          <w:rFonts w:ascii="Garamond" w:hAnsi="Garamond"/>
          <w:sz w:val="20"/>
          <w:szCs w:val="20"/>
        </w:rPr>
      </w:pPr>
      <w:r w:rsidRPr="005E1557">
        <w:rPr>
          <w:rFonts w:ascii="Garamond" w:hAnsi="Garamond"/>
          <w:sz w:val="20"/>
          <w:szCs w:val="20"/>
        </w:rPr>
        <w:t xml:space="preserve">Graph Source:  </w:t>
      </w:r>
      <w:hyperlink r:id="rId6" w:history="1">
        <w:r w:rsidRPr="005E1557">
          <w:rPr>
            <w:rStyle w:val="Hyperlink"/>
            <w:sz w:val="20"/>
            <w:szCs w:val="20"/>
          </w:rPr>
          <w:t xml:space="preserve">Natural Gas Prices - Historical Chart | </w:t>
        </w:r>
        <w:proofErr w:type="spellStart"/>
        <w:r w:rsidRPr="005E1557">
          <w:rPr>
            <w:rStyle w:val="Hyperlink"/>
            <w:sz w:val="20"/>
            <w:szCs w:val="20"/>
          </w:rPr>
          <w:t>MacroTrends</w:t>
        </w:r>
        <w:proofErr w:type="spellEnd"/>
      </w:hyperlink>
    </w:p>
    <w:p w14:paraId="5CED1F8A" w14:textId="77777777" w:rsidR="00245E9C" w:rsidRDefault="00245E9C" w:rsidP="001836B9">
      <w:pPr>
        <w:pStyle w:val="PlainText"/>
        <w:ind w:left="720"/>
        <w:rPr>
          <w:rFonts w:ascii="Garamond" w:hAnsi="Garamond"/>
          <w:sz w:val="24"/>
          <w:szCs w:val="24"/>
        </w:rPr>
      </w:pPr>
    </w:p>
    <w:p w14:paraId="0E879893" w14:textId="3BF1636A" w:rsidR="001836B9" w:rsidRPr="001836B9" w:rsidRDefault="001836B9" w:rsidP="001836B9">
      <w:pPr>
        <w:pStyle w:val="PlainText"/>
        <w:ind w:left="720"/>
        <w:rPr>
          <w:rFonts w:ascii="Garamond" w:hAnsi="Garamond"/>
          <w:sz w:val="24"/>
          <w:szCs w:val="24"/>
        </w:rPr>
      </w:pPr>
    </w:p>
    <w:p w14:paraId="02F4F415" w14:textId="77777777" w:rsidR="001836B9" w:rsidRPr="001836B9" w:rsidRDefault="001836B9" w:rsidP="001836B9">
      <w:pPr>
        <w:pStyle w:val="ListParagraph"/>
        <w:rPr>
          <w:rFonts w:ascii="Garamond" w:eastAsia="Rockwell" w:hAnsi="Garamond" w:cs="Calibri"/>
          <w:sz w:val="24"/>
          <w:szCs w:val="24"/>
        </w:rPr>
      </w:pPr>
    </w:p>
    <w:p w14:paraId="52AFC890" w14:textId="77777777" w:rsidR="001836B9" w:rsidRPr="001836B9" w:rsidRDefault="001836B9" w:rsidP="001836B9">
      <w:pPr>
        <w:rPr>
          <w:rFonts w:ascii="Garamond" w:hAnsi="Garamond"/>
          <w:sz w:val="24"/>
          <w:szCs w:val="24"/>
          <w:u w:val="single"/>
        </w:rPr>
      </w:pPr>
    </w:p>
    <w:sectPr w:rsidR="001836B9" w:rsidRPr="00183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314D"/>
    <w:multiLevelType w:val="hybridMultilevel"/>
    <w:tmpl w:val="45E6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B9"/>
    <w:rsid w:val="000D5FC1"/>
    <w:rsid w:val="000D6BE6"/>
    <w:rsid w:val="000E0580"/>
    <w:rsid w:val="00136881"/>
    <w:rsid w:val="00156F7E"/>
    <w:rsid w:val="001836B9"/>
    <w:rsid w:val="001A2EAD"/>
    <w:rsid w:val="00220792"/>
    <w:rsid w:val="00245E9C"/>
    <w:rsid w:val="0026263B"/>
    <w:rsid w:val="002B33C2"/>
    <w:rsid w:val="004F638A"/>
    <w:rsid w:val="005400A9"/>
    <w:rsid w:val="00593C88"/>
    <w:rsid w:val="005E1557"/>
    <w:rsid w:val="00665E01"/>
    <w:rsid w:val="006800D7"/>
    <w:rsid w:val="006A6FAF"/>
    <w:rsid w:val="007E2D8F"/>
    <w:rsid w:val="008000BB"/>
    <w:rsid w:val="0087584C"/>
    <w:rsid w:val="008A3811"/>
    <w:rsid w:val="008C1C46"/>
    <w:rsid w:val="008E592A"/>
    <w:rsid w:val="009C5767"/>
    <w:rsid w:val="00A068F4"/>
    <w:rsid w:val="00AA75BC"/>
    <w:rsid w:val="00AF43D2"/>
    <w:rsid w:val="00B377F0"/>
    <w:rsid w:val="00B5145F"/>
    <w:rsid w:val="00B81FFF"/>
    <w:rsid w:val="00BF45E3"/>
    <w:rsid w:val="00BF483A"/>
    <w:rsid w:val="00CD1EB1"/>
    <w:rsid w:val="00E63BE6"/>
    <w:rsid w:val="00EC058A"/>
    <w:rsid w:val="00F56CB6"/>
    <w:rsid w:val="00FC65C6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AAAE"/>
  <w15:chartTrackingRefBased/>
  <w15:docId w15:val="{0D359F3E-2860-4B84-AA8B-A9F948DB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6B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836B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36B9"/>
    <w:rPr>
      <w:rFonts w:ascii="Calibri" w:hAnsi="Calibri" w:cs="Calibri"/>
    </w:rPr>
  </w:style>
  <w:style w:type="table" w:styleId="TableGridLight">
    <w:name w:val="Grid Table Light"/>
    <w:basedOn w:val="TableNormal"/>
    <w:uiPriority w:val="40"/>
    <w:rsid w:val="001836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6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F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F7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9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058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E05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rotrends.net/2478/natural-gas-prices-historical-char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Berhane, Gelila</dc:creator>
  <cp:keywords/>
  <dc:description/>
  <cp:lastModifiedBy>Duda, Dorothy</cp:lastModifiedBy>
  <cp:revision>2</cp:revision>
  <dcterms:created xsi:type="dcterms:W3CDTF">2021-11-16T19:15:00Z</dcterms:created>
  <dcterms:modified xsi:type="dcterms:W3CDTF">2021-11-16T19:15:00Z</dcterms:modified>
</cp:coreProperties>
</file>