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45B1" w14:textId="15D2C6F6" w:rsidR="00CC5559" w:rsidRDefault="00E451FA" w:rsidP="0078294C">
      <w:pPr>
        <w:ind w:firstLine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  <w:color w:val="7030A0"/>
        </w:rPr>
        <w:t>SC</w:t>
      </w:r>
      <w:r w:rsidR="00D654D1">
        <w:rPr>
          <w:rFonts w:ascii="Century Gothic" w:hAnsi="Century Gothic" w:cs="Calibri"/>
          <w:b/>
          <w:bCs/>
          <w:color w:val="7030A0"/>
        </w:rPr>
        <w:t>E</w:t>
      </w:r>
      <w:r w:rsidR="00B9638F" w:rsidRPr="00960036">
        <w:rPr>
          <w:rFonts w:ascii="Century Gothic" w:hAnsi="Century Gothic" w:cs="Calibri"/>
          <w:b/>
          <w:bCs/>
          <w:color w:val="7030A0"/>
        </w:rPr>
        <w:t xml:space="preserve"> 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Advice Letter – </w:t>
      </w:r>
      <w:r>
        <w:rPr>
          <w:rFonts w:ascii="Century Gothic" w:hAnsi="Century Gothic" w:cs="Calibri"/>
        </w:rPr>
        <w:t>SCE</w:t>
      </w:r>
      <w:r w:rsidR="00CC5559" w:rsidRPr="00CC5559">
        <w:rPr>
          <w:rFonts w:ascii="Century Gothic" w:hAnsi="Century Gothic" w:cs="Calibri"/>
        </w:rPr>
        <w:t xml:space="preserve"> submits its </w:t>
      </w:r>
      <w:r>
        <w:rPr>
          <w:rFonts w:ascii="Century Gothic" w:hAnsi="Century Gothic" w:cs="Calibri"/>
        </w:rPr>
        <w:t>“Consolidated Revenue Requirement and Rate Change”</w:t>
      </w:r>
      <w:r w:rsidR="00CC5559" w:rsidRPr="00CC5559">
        <w:rPr>
          <w:rFonts w:ascii="Century Gothic" w:hAnsi="Century Gothic" w:cs="Calibri"/>
        </w:rPr>
        <w:t xml:space="preserve"> Advice Letter </w:t>
      </w:r>
      <w:r>
        <w:rPr>
          <w:rFonts w:ascii="Century Gothic" w:hAnsi="Century Gothic" w:cs="Calibri"/>
        </w:rPr>
        <w:t xml:space="preserve">to </w:t>
      </w:r>
      <w:r w:rsidR="00CC5559" w:rsidRPr="00CC5559">
        <w:rPr>
          <w:rFonts w:ascii="Century Gothic" w:hAnsi="Century Gothic" w:cs="Calibri"/>
        </w:rPr>
        <w:t>implemen</w:t>
      </w:r>
      <w:r>
        <w:rPr>
          <w:rFonts w:ascii="Century Gothic" w:hAnsi="Century Gothic" w:cs="Calibri"/>
        </w:rPr>
        <w:t>t</w:t>
      </w:r>
      <w:r w:rsidR="00CC5559" w:rsidRPr="00CC5559">
        <w:rPr>
          <w:rFonts w:ascii="Century Gothic" w:hAnsi="Century Gothic" w:cs="Calibri"/>
        </w:rPr>
        <w:t xml:space="preserve"> </w:t>
      </w:r>
      <w:r w:rsidR="009C3CFA">
        <w:rPr>
          <w:rFonts w:ascii="Century Gothic" w:hAnsi="Century Gothic" w:cs="Calibri"/>
        </w:rPr>
        <w:t>new electric rates</w:t>
      </w:r>
      <w:r w:rsidR="00CC5559" w:rsidRPr="00CC5559">
        <w:rPr>
          <w:rFonts w:ascii="Century Gothic" w:hAnsi="Century Gothic" w:cs="Calibri"/>
        </w:rPr>
        <w:t xml:space="preserve"> and their associated tariffs from previously authorized decisions, resolutions, and advice letters</w:t>
      </w:r>
      <w:r w:rsidR="00F67F79">
        <w:rPr>
          <w:rFonts w:ascii="Century Gothic" w:hAnsi="Century Gothic" w:cs="Calibri"/>
        </w:rPr>
        <w:t>, most significantly the recent General Rate Case decision for SCE issued in August 2021</w:t>
      </w:r>
      <w:r w:rsidR="00CC5559" w:rsidRPr="00CC5559">
        <w:rPr>
          <w:rFonts w:ascii="Century Gothic" w:hAnsi="Century Gothic" w:cs="Calibri"/>
        </w:rPr>
        <w:t xml:space="preserve">. </w:t>
      </w:r>
      <w:r w:rsidR="006817F9">
        <w:rPr>
          <w:rFonts w:ascii="Century Gothic" w:hAnsi="Century Gothic" w:cs="Calibri"/>
        </w:rPr>
        <w:t>SCE submitted its Consolidated advice letter 4</w:t>
      </w:r>
      <w:r w:rsidR="00DD06C3">
        <w:rPr>
          <w:rFonts w:ascii="Century Gothic" w:hAnsi="Century Gothic" w:cs="Calibri"/>
        </w:rPr>
        <w:t>590</w:t>
      </w:r>
      <w:r w:rsidR="006817F9">
        <w:rPr>
          <w:rFonts w:ascii="Century Gothic" w:hAnsi="Century Gothic" w:cs="Calibri"/>
        </w:rPr>
        <w:t xml:space="preserve">-E on </w:t>
      </w:r>
      <w:r w:rsidR="00DD06C3">
        <w:rPr>
          <w:rFonts w:ascii="Century Gothic" w:hAnsi="Century Gothic" w:cs="Calibri"/>
        </w:rPr>
        <w:t>September</w:t>
      </w:r>
      <w:r w:rsidR="006817F9">
        <w:rPr>
          <w:rFonts w:ascii="Century Gothic" w:hAnsi="Century Gothic" w:cs="Calibri"/>
        </w:rPr>
        <w:t xml:space="preserve"> 1</w:t>
      </w:r>
      <w:r w:rsidR="00DD06C3">
        <w:rPr>
          <w:rFonts w:ascii="Century Gothic" w:hAnsi="Century Gothic" w:cs="Calibri"/>
        </w:rPr>
        <w:t>7</w:t>
      </w:r>
      <w:r w:rsidR="006817F9">
        <w:rPr>
          <w:rFonts w:ascii="Century Gothic" w:hAnsi="Century Gothic" w:cs="Calibri"/>
        </w:rPr>
        <w:t xml:space="preserve">, 2021. </w:t>
      </w:r>
      <w:r w:rsidR="00D431B7" w:rsidRPr="00D431B7">
        <w:rPr>
          <w:rFonts w:ascii="Century Gothic" w:hAnsi="Century Gothic" w:cs="Calibri"/>
        </w:rPr>
        <w:t xml:space="preserve">Collectively, the changes </w:t>
      </w:r>
      <w:r w:rsidR="006837AC">
        <w:rPr>
          <w:rFonts w:ascii="Century Gothic" w:hAnsi="Century Gothic" w:cs="Calibri"/>
        </w:rPr>
        <w:t xml:space="preserve">set forth in AL </w:t>
      </w:r>
      <w:r w:rsidR="001441B1">
        <w:rPr>
          <w:rFonts w:ascii="Century Gothic" w:hAnsi="Century Gothic" w:cs="Calibri"/>
        </w:rPr>
        <w:t>4590-E</w:t>
      </w:r>
      <w:r w:rsidR="006837AC">
        <w:rPr>
          <w:rFonts w:ascii="Century Gothic" w:hAnsi="Century Gothic" w:cs="Calibri"/>
        </w:rPr>
        <w:t xml:space="preserve"> </w:t>
      </w:r>
      <w:r w:rsidR="00D431B7" w:rsidRPr="00D431B7">
        <w:rPr>
          <w:rFonts w:ascii="Century Gothic" w:hAnsi="Century Gothic" w:cs="Calibri"/>
        </w:rPr>
        <w:t xml:space="preserve">will result in </w:t>
      </w:r>
      <w:r w:rsidR="00974C38">
        <w:rPr>
          <w:rFonts w:ascii="Century Gothic" w:hAnsi="Century Gothic" w:cs="Calibri"/>
        </w:rPr>
        <w:t xml:space="preserve">an </w:t>
      </w:r>
      <w:r w:rsidR="00F50C4F">
        <w:rPr>
          <w:rFonts w:ascii="Century Gothic" w:hAnsi="Century Gothic" w:cs="Calibri"/>
        </w:rPr>
        <w:t xml:space="preserve">electric </w:t>
      </w:r>
      <w:r w:rsidR="00D431B7" w:rsidRPr="00D431B7">
        <w:rPr>
          <w:rFonts w:ascii="Century Gothic" w:hAnsi="Century Gothic" w:cs="Calibri"/>
        </w:rPr>
        <w:t xml:space="preserve">rate and bill </w:t>
      </w:r>
      <w:r w:rsidR="00974C38">
        <w:rPr>
          <w:rFonts w:ascii="Century Gothic" w:hAnsi="Century Gothic" w:cs="Calibri"/>
        </w:rPr>
        <w:t>increase</w:t>
      </w:r>
      <w:r w:rsidR="00974C38" w:rsidRPr="00D431B7">
        <w:rPr>
          <w:rFonts w:ascii="Century Gothic" w:hAnsi="Century Gothic" w:cs="Calibri"/>
        </w:rPr>
        <w:t xml:space="preserve"> </w:t>
      </w:r>
      <w:r w:rsidR="00D431B7" w:rsidRPr="00D431B7">
        <w:rPr>
          <w:rFonts w:ascii="Century Gothic" w:hAnsi="Century Gothic" w:cs="Calibri"/>
        </w:rPr>
        <w:t xml:space="preserve">beginning on </w:t>
      </w:r>
      <w:r w:rsidR="001441B1">
        <w:rPr>
          <w:rFonts w:ascii="Century Gothic" w:hAnsi="Century Gothic" w:cs="Calibri"/>
        </w:rPr>
        <w:t xml:space="preserve">October </w:t>
      </w:r>
      <w:r w:rsidR="00D431B7" w:rsidRPr="00D431B7">
        <w:rPr>
          <w:rFonts w:ascii="Century Gothic" w:hAnsi="Century Gothic" w:cs="Calibri"/>
        </w:rPr>
        <w:t>1, 202</w:t>
      </w:r>
      <w:r w:rsidR="006817F9">
        <w:rPr>
          <w:rFonts w:ascii="Century Gothic" w:hAnsi="Century Gothic" w:cs="Calibri"/>
        </w:rPr>
        <w:t>1</w:t>
      </w:r>
      <w:r w:rsidR="001F2387">
        <w:rPr>
          <w:rFonts w:ascii="Century Gothic" w:hAnsi="Century Gothic" w:cs="Calibri"/>
        </w:rPr>
        <w:t>.</w:t>
      </w:r>
    </w:p>
    <w:p w14:paraId="3718751D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40519CE5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15FCE259" w14:textId="4B995457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All Requested </w:t>
      </w:r>
      <w:r w:rsidR="00194A88">
        <w:rPr>
          <w:rFonts w:ascii="Century Gothic" w:hAnsi="Century Gothic" w:cs="Calibri"/>
          <w:b/>
          <w:bCs/>
          <w:u w:val="single"/>
        </w:rPr>
        <w:t xml:space="preserve">Electric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Rate Changes Effective </w:t>
      </w:r>
      <w:r w:rsidR="001441B1">
        <w:rPr>
          <w:rFonts w:ascii="Century Gothic" w:hAnsi="Century Gothic" w:cs="Calibri"/>
          <w:b/>
          <w:bCs/>
          <w:u w:val="single"/>
        </w:rPr>
        <w:t>October</w:t>
      </w:r>
      <w:r w:rsidR="00D654D1">
        <w:rPr>
          <w:rFonts w:ascii="Century Gothic" w:hAnsi="Century Gothic" w:cs="Calibri"/>
          <w:b/>
          <w:bCs/>
          <w:u w:val="single"/>
        </w:rPr>
        <w:t xml:space="preserve"> 1, 2021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14:paraId="21842C0D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960036" w14:paraId="5C231CF2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669ABFA5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1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59B6FD5F" w14:textId="7AF36498" w:rsidR="002164F7" w:rsidRPr="00960036" w:rsidRDefault="00E451FA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SC</w:t>
            </w:r>
            <w:r w:rsidR="00EA38F3">
              <w:rPr>
                <w:rFonts w:ascii="Century Gothic" w:hAnsi="Century Gothic" w:cs="Calibri"/>
              </w:rPr>
              <w:t>E</w:t>
            </w:r>
            <w:r w:rsidR="00EA38F3" w:rsidRPr="00960036">
              <w:rPr>
                <w:rFonts w:ascii="Century Gothic" w:hAnsi="Century Gothic" w:cs="Calibri"/>
              </w:rPr>
              <w:t xml:space="preserve"> </w:t>
            </w:r>
            <w:r w:rsidR="000327F4">
              <w:rPr>
                <w:rFonts w:ascii="Century Gothic" w:hAnsi="Century Gothic" w:cs="Calibri"/>
              </w:rPr>
              <w:t xml:space="preserve">as of </w:t>
            </w:r>
            <w:r w:rsidR="001441B1">
              <w:rPr>
                <w:rFonts w:ascii="Century Gothic" w:hAnsi="Century Gothic" w:cs="Calibri"/>
              </w:rPr>
              <w:t>October</w:t>
            </w:r>
            <w:r w:rsidR="000327F4">
              <w:rPr>
                <w:rFonts w:ascii="Century Gothic" w:hAnsi="Century Gothic" w:cs="Calibri"/>
              </w:rPr>
              <w:t xml:space="preserve"> 1, 2021</w:t>
            </w:r>
          </w:p>
        </w:tc>
      </w:tr>
      <w:tr w:rsidR="002164F7" w:rsidRPr="00960036" w14:paraId="40484873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A1A5E48" w14:textId="77777777"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709FDF59" w14:textId="2619366E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E451FA">
              <w:rPr>
                <w:rFonts w:ascii="Century Gothic" w:hAnsi="Century Gothic" w:cs="Calibri"/>
              </w:rPr>
              <w:t>1</w:t>
            </w:r>
            <w:r w:rsidR="005917FB">
              <w:rPr>
                <w:rFonts w:ascii="Century Gothic" w:hAnsi="Century Gothic" w:cs="Calibri"/>
              </w:rPr>
              <w:t>39.34</w:t>
            </w:r>
          </w:p>
        </w:tc>
      </w:tr>
      <w:tr w:rsidR="00863057" w:rsidRPr="00960036" w14:paraId="53C3FEEF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30104C01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7C408F3D" w14:textId="317C6D57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E451FA">
              <w:rPr>
                <w:rFonts w:ascii="Century Gothic" w:hAnsi="Century Gothic" w:cs="Calibri"/>
              </w:rPr>
              <w:t>1</w:t>
            </w:r>
            <w:r w:rsidR="00B10FF0">
              <w:rPr>
                <w:rFonts w:ascii="Century Gothic" w:hAnsi="Century Gothic" w:cs="Calibri"/>
              </w:rPr>
              <w:t>1</w:t>
            </w:r>
            <w:r w:rsidR="00E451FA">
              <w:rPr>
                <w:rFonts w:ascii="Century Gothic" w:hAnsi="Century Gothic" w:cs="Calibri"/>
              </w:rPr>
              <w:t>.</w:t>
            </w:r>
            <w:r w:rsidR="00DB2531">
              <w:rPr>
                <w:rFonts w:ascii="Century Gothic" w:hAnsi="Century Gothic" w:cs="Calibri"/>
              </w:rPr>
              <w:t>22</w:t>
            </w:r>
            <w:r>
              <w:rPr>
                <w:rFonts w:ascii="Century Gothic" w:hAnsi="Century Gothic" w:cs="Calibri"/>
              </w:rPr>
              <w:t xml:space="preserve"> (</w:t>
            </w:r>
            <w:r w:rsidR="00E451FA">
              <w:rPr>
                <w:rFonts w:ascii="Century Gothic" w:hAnsi="Century Gothic" w:cs="Calibri"/>
              </w:rPr>
              <w:t>8.</w:t>
            </w:r>
            <w:r w:rsidR="00682015">
              <w:rPr>
                <w:rFonts w:ascii="Century Gothic" w:hAnsi="Century Gothic" w:cs="Calibri"/>
              </w:rPr>
              <w:t>8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0401A036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211806B2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31C59569" w14:textId="6068E37E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A079BB">
              <w:rPr>
                <w:rFonts w:ascii="Century Gothic" w:hAnsi="Century Gothic" w:cs="Calibri"/>
              </w:rPr>
              <w:t>88.86</w:t>
            </w:r>
          </w:p>
        </w:tc>
      </w:tr>
      <w:tr w:rsidR="00863057" w:rsidRPr="00960036" w14:paraId="783F70E1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D6BDA89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944" w:type="dxa"/>
          </w:tcPr>
          <w:p w14:paraId="3DAB85F9" w14:textId="017FD9C9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A079BB">
              <w:rPr>
                <w:rFonts w:ascii="Century Gothic" w:hAnsi="Century Gothic" w:cs="Calibri"/>
              </w:rPr>
              <w:t>7.31</w:t>
            </w:r>
            <w:r>
              <w:rPr>
                <w:rFonts w:ascii="Century Gothic" w:hAnsi="Century Gothic" w:cs="Calibri"/>
              </w:rPr>
              <w:t xml:space="preserve"> (</w:t>
            </w:r>
            <w:r w:rsidR="00A079BB">
              <w:rPr>
                <w:rFonts w:ascii="Century Gothic" w:hAnsi="Century Gothic" w:cs="Calibri"/>
              </w:rPr>
              <w:t>9.</w:t>
            </w:r>
            <w:r w:rsidR="00E451FA">
              <w:rPr>
                <w:rFonts w:ascii="Century Gothic" w:hAnsi="Century Gothic" w:cs="Calibri"/>
              </w:rPr>
              <w:t>0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34DA5642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372BF8D2" w14:textId="5CF150CB" w:rsidR="00CB4F96" w:rsidRPr="00960036" w:rsidRDefault="00C72375" w:rsidP="00CB4F96">
      <w:pPr>
        <w:ind w:firstLine="0"/>
        <w:rPr>
          <w:rFonts w:ascii="Century Gothic" w:hAnsi="Century Gothic" w:cs="Calibri"/>
        </w:rPr>
      </w:pPr>
      <w:r w:rsidRPr="00960036">
        <w:rPr>
          <w:rFonts w:ascii="Century Gothic" w:hAnsi="Century Gothic" w:cs="Calibri"/>
        </w:rPr>
        <w:t xml:space="preserve">Below are the </w:t>
      </w:r>
      <w:r>
        <w:rPr>
          <w:rFonts w:ascii="Century Gothic" w:hAnsi="Century Gothic" w:cs="Calibri"/>
        </w:rPr>
        <w:t xml:space="preserve">primary drivers of SCE’s </w:t>
      </w:r>
      <w:r w:rsidR="00A079BB">
        <w:rPr>
          <w:rFonts w:ascii="Century Gothic" w:hAnsi="Century Gothic" w:cs="Calibri"/>
        </w:rPr>
        <w:t>October</w:t>
      </w:r>
      <w:r>
        <w:rPr>
          <w:rFonts w:ascii="Century Gothic" w:hAnsi="Century Gothic" w:cs="Calibri"/>
        </w:rPr>
        <w:t xml:space="preserve"> 1, 2021</w:t>
      </w:r>
      <w:r w:rsidR="00C653E5">
        <w:rPr>
          <w:rFonts w:ascii="Century Gothic" w:hAnsi="Century Gothic" w:cs="Calibri"/>
        </w:rPr>
        <w:t>,</w:t>
      </w:r>
      <w:r>
        <w:rPr>
          <w:rFonts w:ascii="Century Gothic" w:hAnsi="Century Gothic" w:cs="Calibri"/>
        </w:rPr>
        <w:t xml:space="preserve"> </w:t>
      </w:r>
      <w:r w:rsidRPr="00960036">
        <w:rPr>
          <w:rFonts w:ascii="Century Gothic" w:hAnsi="Century Gothic" w:cs="Calibri"/>
        </w:rPr>
        <w:t>electric rate change</w:t>
      </w:r>
      <w:r>
        <w:rPr>
          <w:rFonts w:ascii="Century Gothic" w:hAnsi="Century Gothic" w:cs="Calibri"/>
        </w:rPr>
        <w:t xml:space="preserve">s, which involve an </w:t>
      </w:r>
      <w:r w:rsidRPr="00023A36">
        <w:rPr>
          <w:rFonts w:ascii="Century Gothic" w:hAnsi="Century Gothic" w:cs="Calibri"/>
        </w:rPr>
        <w:t>increase of $</w:t>
      </w:r>
      <w:r w:rsidR="007D4187">
        <w:rPr>
          <w:rFonts w:ascii="Century Gothic" w:hAnsi="Century Gothic" w:cs="Calibri"/>
        </w:rPr>
        <w:t>1.244</w:t>
      </w:r>
      <w:r w:rsidRPr="00023A36">
        <w:rPr>
          <w:rFonts w:ascii="Century Gothic" w:hAnsi="Century Gothic" w:cs="Calibri"/>
        </w:rPr>
        <w:t xml:space="preserve"> </w:t>
      </w:r>
      <w:r w:rsidR="007D4187">
        <w:rPr>
          <w:rFonts w:ascii="Century Gothic" w:hAnsi="Century Gothic" w:cs="Calibri"/>
        </w:rPr>
        <w:t>bil</w:t>
      </w:r>
      <w:r w:rsidRPr="00023A36">
        <w:rPr>
          <w:rFonts w:ascii="Century Gothic" w:hAnsi="Century Gothic" w:cs="Calibri"/>
        </w:rPr>
        <w:t>lion in</w:t>
      </w:r>
      <w:r>
        <w:rPr>
          <w:rFonts w:ascii="Century Gothic" w:hAnsi="Century Gothic" w:cs="Calibri"/>
        </w:rPr>
        <w:t xml:space="preserve"> the revenues the company needs for its electric utility operations and capital investments</w:t>
      </w:r>
      <w:r w:rsidR="00025477">
        <w:rPr>
          <w:rFonts w:ascii="Century Gothic" w:hAnsi="Century Gothic" w:cs="Calibri"/>
        </w:rPr>
        <w:t>.</w:t>
      </w:r>
      <w:r w:rsidR="00173FD2">
        <w:rPr>
          <w:rFonts w:ascii="Century Gothic" w:hAnsi="Century Gothic" w:cs="Calibri"/>
        </w:rPr>
        <w:t xml:space="preserve"> This rate</w:t>
      </w:r>
      <w:r w:rsidR="00E56657">
        <w:rPr>
          <w:rFonts w:ascii="Century Gothic" w:hAnsi="Century Gothic" w:cs="Calibri"/>
        </w:rPr>
        <w:t>/bill</w:t>
      </w:r>
      <w:r w:rsidR="00173FD2">
        <w:rPr>
          <w:rFonts w:ascii="Century Gothic" w:hAnsi="Century Gothic" w:cs="Calibri"/>
        </w:rPr>
        <w:t xml:space="preserve"> increase is attributable to </w:t>
      </w:r>
      <w:r w:rsidR="003725B8">
        <w:rPr>
          <w:rFonts w:ascii="Century Gothic" w:hAnsi="Century Gothic" w:cs="Calibri"/>
        </w:rPr>
        <w:t xml:space="preserve">rate increases </w:t>
      </w:r>
      <w:r w:rsidR="00F64930">
        <w:rPr>
          <w:rFonts w:ascii="Century Gothic" w:hAnsi="Century Gothic" w:cs="Calibri"/>
        </w:rPr>
        <w:t xml:space="preserve">authorized in SCE’s </w:t>
      </w:r>
      <w:r w:rsidR="00BF19C6">
        <w:rPr>
          <w:rFonts w:ascii="Century Gothic" w:hAnsi="Century Gothic" w:cs="Calibri"/>
        </w:rPr>
        <w:t>2021</w:t>
      </w:r>
      <w:r w:rsidR="00F67F79">
        <w:rPr>
          <w:rFonts w:ascii="Century Gothic" w:hAnsi="Century Gothic" w:cs="Calibri"/>
        </w:rPr>
        <w:t xml:space="preserve"> recent August 2021</w:t>
      </w:r>
      <w:r w:rsidR="00BF19C6">
        <w:rPr>
          <w:rFonts w:ascii="Century Gothic" w:hAnsi="Century Gothic" w:cs="Calibri"/>
        </w:rPr>
        <w:t xml:space="preserve"> General Rate Case (GRC)</w:t>
      </w:r>
      <w:r w:rsidR="00F67F79">
        <w:rPr>
          <w:rFonts w:ascii="Century Gothic" w:hAnsi="Century Gothic" w:cs="Calibri"/>
        </w:rPr>
        <w:t xml:space="preserve"> decision</w:t>
      </w:r>
      <w:r w:rsidR="00263A9E">
        <w:rPr>
          <w:rFonts w:ascii="Century Gothic" w:hAnsi="Century Gothic" w:cs="Calibri"/>
        </w:rPr>
        <w:t xml:space="preserve"> and</w:t>
      </w:r>
      <w:r w:rsidR="00BF19C6">
        <w:rPr>
          <w:rFonts w:ascii="Century Gothic" w:hAnsi="Century Gothic" w:cs="Calibri"/>
        </w:rPr>
        <w:t xml:space="preserve"> </w:t>
      </w:r>
      <w:r w:rsidR="00173FD2">
        <w:rPr>
          <w:rFonts w:ascii="Century Gothic" w:hAnsi="Century Gothic" w:cs="Calibri"/>
        </w:rPr>
        <w:t>regulatory account</w:t>
      </w:r>
      <w:r w:rsidR="00896969">
        <w:rPr>
          <w:rFonts w:ascii="Century Gothic" w:hAnsi="Century Gothic" w:cs="Calibri"/>
        </w:rPr>
        <w:t xml:space="preserve"> adjustment</w:t>
      </w:r>
      <w:r w:rsidR="00173FD2">
        <w:rPr>
          <w:rFonts w:ascii="Century Gothic" w:hAnsi="Century Gothic" w:cs="Calibri"/>
        </w:rPr>
        <w:t>s</w:t>
      </w:r>
      <w:r w:rsidR="00D261B9">
        <w:rPr>
          <w:rFonts w:ascii="Century Gothic" w:hAnsi="Century Gothic" w:cs="Calibri"/>
        </w:rPr>
        <w:t xml:space="preserve"> and </w:t>
      </w:r>
      <w:r w:rsidR="00023E19">
        <w:rPr>
          <w:rFonts w:ascii="Century Gothic" w:hAnsi="Century Gothic" w:cs="Calibri"/>
        </w:rPr>
        <w:t>recoveries</w:t>
      </w:r>
      <w:r w:rsidR="00173FD2">
        <w:rPr>
          <w:rFonts w:ascii="Century Gothic" w:hAnsi="Century Gothic" w:cs="Calibri"/>
        </w:rPr>
        <w:t>.</w:t>
      </w:r>
      <w:r w:rsidR="00025477">
        <w:rPr>
          <w:rFonts w:ascii="Century Gothic" w:hAnsi="Century Gothic" w:cs="Calibri"/>
        </w:rPr>
        <w:t xml:space="preserve"> Dollar amounts shown below represent the increase or decrease in revenue collected from customers in </w:t>
      </w:r>
      <w:proofErr w:type="gramStart"/>
      <w:r w:rsidR="00025477">
        <w:rPr>
          <w:rFonts w:ascii="Century Gothic" w:hAnsi="Century Gothic" w:cs="Calibri"/>
        </w:rPr>
        <w:t>rates;</w:t>
      </w:r>
      <w:proofErr w:type="gramEnd"/>
      <w:r w:rsidR="00025477">
        <w:rPr>
          <w:rFonts w:ascii="Century Gothic" w:hAnsi="Century Gothic" w:cs="Calibri"/>
        </w:rPr>
        <w:t xml:space="preserve"> </w:t>
      </w:r>
      <w:r w:rsidR="00025477">
        <w:rPr>
          <w:rFonts w:ascii="Century Gothic" w:hAnsi="Century Gothic" w:cs="Calibri"/>
          <w:i/>
          <w:iCs/>
        </w:rPr>
        <w:t xml:space="preserve">not </w:t>
      </w:r>
      <w:r w:rsidR="00025477">
        <w:rPr>
          <w:rFonts w:ascii="Century Gothic" w:hAnsi="Century Gothic" w:cs="Calibri"/>
        </w:rPr>
        <w:t>total program costs</w:t>
      </w:r>
      <w:r>
        <w:rPr>
          <w:rFonts w:ascii="Century Gothic" w:hAnsi="Century Gothic" w:cs="Calibri"/>
        </w:rPr>
        <w:t>:</w:t>
      </w:r>
    </w:p>
    <w:p w14:paraId="700F697A" w14:textId="3188208F" w:rsidR="00664C8E" w:rsidRDefault="00E3467E" w:rsidP="009C3CFA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The primary drivers of the </w:t>
      </w:r>
      <w:r w:rsidR="00A64C24">
        <w:rPr>
          <w:rFonts w:ascii="Century Gothic" w:hAnsi="Century Gothic" w:cs="Calibri"/>
        </w:rPr>
        <w:t>October</w:t>
      </w:r>
      <w:r>
        <w:rPr>
          <w:rFonts w:ascii="Century Gothic" w:hAnsi="Century Gothic" w:cs="Calibri"/>
        </w:rPr>
        <w:t xml:space="preserve"> 1</w:t>
      </w:r>
      <w:r w:rsidRPr="00E3467E">
        <w:rPr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 xml:space="preserve"> rate </w:t>
      </w:r>
      <w:r w:rsidR="00AF56A6">
        <w:rPr>
          <w:rFonts w:ascii="Century Gothic" w:hAnsi="Century Gothic" w:cs="Calibri"/>
        </w:rPr>
        <w:t xml:space="preserve">increase </w:t>
      </w:r>
      <w:r>
        <w:rPr>
          <w:rFonts w:ascii="Century Gothic" w:hAnsi="Century Gothic" w:cs="Calibri"/>
        </w:rPr>
        <w:t>are:</w:t>
      </w:r>
    </w:p>
    <w:p w14:paraId="79E647F3" w14:textId="77777777" w:rsidR="003E59DC" w:rsidRDefault="00A1257C" w:rsidP="00A1257C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2021 GRC Decision (D.) 21-08-036 ($</w:t>
      </w:r>
      <w:r w:rsidR="002B2978">
        <w:rPr>
          <w:rFonts w:ascii="Century Gothic" w:hAnsi="Century Gothic" w:cs="Calibri"/>
        </w:rPr>
        <w:t>1.2</w:t>
      </w:r>
      <w:r w:rsidR="00F860A1">
        <w:rPr>
          <w:rFonts w:ascii="Century Gothic" w:hAnsi="Century Gothic" w:cs="Calibri"/>
        </w:rPr>
        <w:t>98</w:t>
      </w:r>
      <w:r>
        <w:rPr>
          <w:rFonts w:ascii="Century Gothic" w:hAnsi="Century Gothic" w:cs="Calibri"/>
        </w:rPr>
        <w:t xml:space="preserve"> </w:t>
      </w:r>
      <w:r w:rsidR="00F860A1">
        <w:rPr>
          <w:rFonts w:ascii="Century Gothic" w:hAnsi="Century Gothic" w:cs="Calibri"/>
        </w:rPr>
        <w:t>bill</w:t>
      </w:r>
      <w:r>
        <w:rPr>
          <w:rFonts w:ascii="Century Gothic" w:hAnsi="Century Gothic" w:cs="Calibri"/>
        </w:rPr>
        <w:t>ion):</w:t>
      </w:r>
    </w:p>
    <w:p w14:paraId="693785AC" w14:textId="77777777" w:rsidR="005A08CC" w:rsidRDefault="003E59DC" w:rsidP="005078F9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</w:t>
      </w:r>
      <w:r w:rsidR="00A1257C">
        <w:rPr>
          <w:rFonts w:ascii="Century Gothic" w:hAnsi="Century Gothic" w:cs="Calibri"/>
        </w:rPr>
        <w:t>he Commission authorized additional funding ($</w:t>
      </w:r>
      <w:r w:rsidR="008733C1">
        <w:rPr>
          <w:rFonts w:ascii="Century Gothic" w:hAnsi="Century Gothic" w:cs="Calibri"/>
        </w:rPr>
        <w:t>976</w:t>
      </w:r>
      <w:r w:rsidR="00A1257C">
        <w:rPr>
          <w:rFonts w:ascii="Century Gothic" w:hAnsi="Century Gothic" w:cs="Calibri"/>
        </w:rPr>
        <w:t xml:space="preserve"> million) to support</w:t>
      </w:r>
      <w:r w:rsidR="007D4F4D">
        <w:rPr>
          <w:rFonts w:ascii="Century Gothic" w:hAnsi="Century Gothic" w:cs="Calibri"/>
        </w:rPr>
        <w:t xml:space="preserve">: </w:t>
      </w:r>
    </w:p>
    <w:p w14:paraId="0D52B928" w14:textId="19F1045C" w:rsidR="005A08CC" w:rsidRDefault="007D4F4D" w:rsidP="005A08CC">
      <w:pPr>
        <w:pStyle w:val="ListParagraph"/>
        <w:numPr>
          <w:ilvl w:val="3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</w:t>
      </w:r>
      <w:r w:rsidR="00A1257C">
        <w:rPr>
          <w:rFonts w:ascii="Century Gothic" w:hAnsi="Century Gothic" w:cs="Calibri"/>
        </w:rPr>
        <w:t>ontinuing safety and compliance programs to mitigate wildfire risks, includ</w:t>
      </w:r>
      <w:r w:rsidR="00C170EB">
        <w:rPr>
          <w:rFonts w:ascii="Century Gothic" w:hAnsi="Century Gothic" w:cs="Calibri"/>
        </w:rPr>
        <w:t>ing</w:t>
      </w:r>
      <w:r w:rsidR="00A1257C">
        <w:rPr>
          <w:rFonts w:ascii="Century Gothic" w:hAnsi="Century Gothic" w:cs="Calibri"/>
        </w:rPr>
        <w:t xml:space="preserve"> enhanced vegetation management, system hardening, and enhance</w:t>
      </w:r>
      <w:r w:rsidR="003E59DC">
        <w:rPr>
          <w:rFonts w:ascii="Century Gothic" w:hAnsi="Century Gothic" w:cs="Calibri"/>
        </w:rPr>
        <w:t>d</w:t>
      </w:r>
      <w:r w:rsidR="00A1257C">
        <w:rPr>
          <w:rFonts w:ascii="Century Gothic" w:hAnsi="Century Gothic" w:cs="Calibri"/>
        </w:rPr>
        <w:t xml:space="preserve"> operational </w:t>
      </w:r>
      <w:proofErr w:type="gramStart"/>
      <w:r w:rsidR="00A1257C">
        <w:rPr>
          <w:rFonts w:ascii="Century Gothic" w:hAnsi="Century Gothic" w:cs="Calibri"/>
        </w:rPr>
        <w:t>practices</w:t>
      </w:r>
      <w:r w:rsidR="006A3C29">
        <w:rPr>
          <w:rFonts w:ascii="Century Gothic" w:hAnsi="Century Gothic" w:cs="Calibri"/>
        </w:rPr>
        <w:t>;</w:t>
      </w:r>
      <w:proofErr w:type="gramEnd"/>
      <w:r w:rsidR="00504B17">
        <w:rPr>
          <w:rFonts w:ascii="Century Gothic" w:hAnsi="Century Gothic" w:cs="Calibri"/>
        </w:rPr>
        <w:t xml:space="preserve"> </w:t>
      </w:r>
    </w:p>
    <w:p w14:paraId="63A0E94D" w14:textId="30FE2455" w:rsidR="005A08CC" w:rsidRDefault="00A83E13" w:rsidP="005A08CC">
      <w:pPr>
        <w:pStyle w:val="ListParagraph"/>
        <w:numPr>
          <w:ilvl w:val="3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M</w:t>
      </w:r>
      <w:r w:rsidR="001B54DD">
        <w:rPr>
          <w:rFonts w:ascii="Century Gothic" w:hAnsi="Century Gothic" w:cs="Calibri"/>
        </w:rPr>
        <w:t>oderniz</w:t>
      </w:r>
      <w:r>
        <w:rPr>
          <w:rFonts w:ascii="Century Gothic" w:hAnsi="Century Gothic" w:cs="Calibri"/>
        </w:rPr>
        <w:t>ing</w:t>
      </w:r>
      <w:r w:rsidR="001B54DD">
        <w:rPr>
          <w:rFonts w:ascii="Century Gothic" w:hAnsi="Century Gothic" w:cs="Calibri"/>
        </w:rPr>
        <w:t xml:space="preserve"> and maintain</w:t>
      </w:r>
      <w:r w:rsidR="00717704">
        <w:rPr>
          <w:rFonts w:ascii="Century Gothic" w:hAnsi="Century Gothic" w:cs="Calibri"/>
        </w:rPr>
        <w:t>ing</w:t>
      </w:r>
      <w:r w:rsidR="001B54DD">
        <w:rPr>
          <w:rFonts w:ascii="Century Gothic" w:hAnsi="Century Gothic" w:cs="Calibri"/>
        </w:rPr>
        <w:t xml:space="preserve"> safe and reliable</w:t>
      </w:r>
      <w:r w:rsidR="00504B17">
        <w:rPr>
          <w:rFonts w:ascii="Century Gothic" w:hAnsi="Century Gothic" w:cs="Calibri"/>
        </w:rPr>
        <w:t xml:space="preserve"> distribution and transmission grid</w:t>
      </w:r>
      <w:r w:rsidR="0054787E">
        <w:rPr>
          <w:rFonts w:ascii="Century Gothic" w:hAnsi="Century Gothic" w:cs="Calibri"/>
        </w:rPr>
        <w:t>s</w:t>
      </w:r>
      <w:r w:rsidR="006A3C29">
        <w:rPr>
          <w:rFonts w:ascii="Century Gothic" w:hAnsi="Century Gothic" w:cs="Calibri"/>
        </w:rPr>
        <w:t xml:space="preserve">; </w:t>
      </w:r>
      <w:r w:rsidR="005A4993">
        <w:rPr>
          <w:rFonts w:ascii="Century Gothic" w:hAnsi="Century Gothic" w:cs="Calibri"/>
        </w:rPr>
        <w:t>and</w:t>
      </w:r>
    </w:p>
    <w:p w14:paraId="515F19E8" w14:textId="20C4ACBE" w:rsidR="00A64C24" w:rsidRDefault="003422C2" w:rsidP="003675B4">
      <w:pPr>
        <w:pStyle w:val="ListParagraph"/>
        <w:numPr>
          <w:ilvl w:val="3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Purchas</w:t>
      </w:r>
      <w:r w:rsidR="00E178F5">
        <w:rPr>
          <w:rFonts w:ascii="Century Gothic" w:hAnsi="Century Gothic" w:cs="Calibri"/>
        </w:rPr>
        <w:t>ing</w:t>
      </w:r>
      <w:r>
        <w:rPr>
          <w:rFonts w:ascii="Century Gothic" w:hAnsi="Century Gothic" w:cs="Calibri"/>
        </w:rPr>
        <w:t xml:space="preserve"> </w:t>
      </w:r>
      <w:r w:rsidR="00256396">
        <w:rPr>
          <w:rFonts w:ascii="Century Gothic" w:hAnsi="Century Gothic" w:cs="Calibri"/>
        </w:rPr>
        <w:t>up to</w:t>
      </w:r>
      <w:r>
        <w:rPr>
          <w:rFonts w:ascii="Century Gothic" w:hAnsi="Century Gothic" w:cs="Calibri"/>
        </w:rPr>
        <w:t xml:space="preserve"> </w:t>
      </w:r>
      <w:r w:rsidR="004B2079">
        <w:rPr>
          <w:rFonts w:ascii="Century Gothic" w:hAnsi="Century Gothic" w:cs="Calibri"/>
        </w:rPr>
        <w:t xml:space="preserve">$1 billion </w:t>
      </w:r>
      <w:r w:rsidR="00256396">
        <w:rPr>
          <w:rFonts w:ascii="Century Gothic" w:hAnsi="Century Gothic" w:cs="Calibri"/>
        </w:rPr>
        <w:t>of liability insurance for wildfire</w:t>
      </w:r>
      <w:r w:rsidR="00E178F5">
        <w:rPr>
          <w:rFonts w:ascii="Century Gothic" w:hAnsi="Century Gothic" w:cs="Calibri"/>
        </w:rPr>
        <w:t>-related claims</w:t>
      </w:r>
      <w:r w:rsidR="00A1257C">
        <w:rPr>
          <w:rFonts w:ascii="Century Gothic" w:hAnsi="Century Gothic" w:cs="Calibri"/>
        </w:rPr>
        <w:t xml:space="preserve">. </w:t>
      </w:r>
    </w:p>
    <w:p w14:paraId="430CC2CE" w14:textId="5E66FEA4" w:rsidR="009B2BD7" w:rsidRDefault="003E59DC" w:rsidP="005078F9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The GRC decision</w:t>
      </w:r>
      <w:r w:rsidR="0034185F">
        <w:rPr>
          <w:rFonts w:ascii="Century Gothic" w:hAnsi="Century Gothic" w:cs="Calibri"/>
        </w:rPr>
        <w:t xml:space="preserve"> directed SCE to </w:t>
      </w:r>
      <w:r w:rsidR="009B2BD7">
        <w:rPr>
          <w:rFonts w:ascii="Century Gothic" w:hAnsi="Century Gothic" w:cs="Calibri"/>
        </w:rPr>
        <w:t xml:space="preserve">amortize </w:t>
      </w:r>
      <w:r>
        <w:rPr>
          <w:rFonts w:ascii="Century Gothic" w:hAnsi="Century Gothic" w:cs="Calibri"/>
        </w:rPr>
        <w:t xml:space="preserve">costs </w:t>
      </w:r>
      <w:r w:rsidR="00F67F79">
        <w:rPr>
          <w:rFonts w:ascii="Century Gothic" w:hAnsi="Century Gothic" w:cs="Calibri"/>
        </w:rPr>
        <w:t xml:space="preserve">caused by the delay in issuance of this GRC decision </w:t>
      </w:r>
      <w:r>
        <w:rPr>
          <w:rFonts w:ascii="Century Gothic" w:hAnsi="Century Gothic" w:cs="Calibri"/>
        </w:rPr>
        <w:t xml:space="preserve">from </w:t>
      </w:r>
      <w:r w:rsidR="002B3922">
        <w:rPr>
          <w:rFonts w:ascii="Century Gothic" w:hAnsi="Century Gothic" w:cs="Calibri"/>
        </w:rPr>
        <w:t xml:space="preserve">January 1, 2021, through </w:t>
      </w:r>
      <w:r w:rsidR="002B3922">
        <w:rPr>
          <w:rFonts w:ascii="Century Gothic" w:hAnsi="Century Gothic" w:cs="Calibri"/>
        </w:rPr>
        <w:lastRenderedPageBreak/>
        <w:t xml:space="preserve">September 30, 2021, </w:t>
      </w:r>
      <w:r w:rsidR="00A2592F">
        <w:rPr>
          <w:rFonts w:ascii="Century Gothic" w:hAnsi="Century Gothic" w:cs="Calibri"/>
        </w:rPr>
        <w:t>over a 27-month period</w:t>
      </w:r>
      <w:r w:rsidR="00F67F79">
        <w:rPr>
          <w:rFonts w:ascii="Century Gothic" w:hAnsi="Century Gothic" w:cs="Calibri"/>
        </w:rPr>
        <w:t xml:space="preserve">.  This results </w:t>
      </w:r>
      <w:r w:rsidR="00A2592F">
        <w:rPr>
          <w:rFonts w:ascii="Century Gothic" w:hAnsi="Century Gothic" w:cs="Calibri"/>
        </w:rPr>
        <w:t xml:space="preserve"> in a</w:t>
      </w:r>
      <w:r w:rsidR="007D3266">
        <w:rPr>
          <w:rFonts w:ascii="Century Gothic" w:hAnsi="Century Gothic" w:cs="Calibri"/>
        </w:rPr>
        <w:t>n annualized</w:t>
      </w:r>
      <w:r w:rsidR="00DA31A0">
        <w:rPr>
          <w:rFonts w:ascii="Century Gothic" w:hAnsi="Century Gothic" w:cs="Calibri"/>
        </w:rPr>
        <w:t xml:space="preserve"> recovery</w:t>
      </w:r>
      <w:r w:rsidR="00883AF0">
        <w:rPr>
          <w:rFonts w:ascii="Century Gothic" w:hAnsi="Century Gothic" w:cs="Calibri"/>
        </w:rPr>
        <w:t xml:space="preserve"> of</w:t>
      </w:r>
      <w:r w:rsidR="00A2592F">
        <w:rPr>
          <w:rFonts w:ascii="Century Gothic" w:hAnsi="Century Gothic" w:cs="Calibri"/>
        </w:rPr>
        <w:t xml:space="preserve"> $321 million</w:t>
      </w:r>
      <w:r w:rsidR="00FA016F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beginning o</w:t>
      </w:r>
      <w:r w:rsidR="00FA016F">
        <w:rPr>
          <w:rFonts w:ascii="Century Gothic" w:hAnsi="Century Gothic" w:cs="Calibri"/>
        </w:rPr>
        <w:t>n October</w:t>
      </w:r>
      <w:r w:rsidR="00334C62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1, </w:t>
      </w:r>
      <w:r w:rsidR="00334C62">
        <w:rPr>
          <w:rFonts w:ascii="Century Gothic" w:hAnsi="Century Gothic" w:cs="Calibri"/>
        </w:rPr>
        <w:t>2021</w:t>
      </w:r>
      <w:r w:rsidR="00A2592F">
        <w:rPr>
          <w:rFonts w:ascii="Century Gothic" w:hAnsi="Century Gothic" w:cs="Calibri"/>
        </w:rPr>
        <w:t xml:space="preserve">. </w:t>
      </w:r>
      <w:r w:rsidR="003614C7">
        <w:rPr>
          <w:rFonts w:ascii="Century Gothic" w:hAnsi="Century Gothic" w:cs="Calibri"/>
        </w:rPr>
        <w:t xml:space="preserve"> </w:t>
      </w:r>
    </w:p>
    <w:p w14:paraId="711FD364" w14:textId="77777777" w:rsidR="0054787E" w:rsidRDefault="0054787E" w:rsidP="0054787E">
      <w:pPr>
        <w:pStyle w:val="ListParagraph"/>
        <w:spacing w:before="140"/>
        <w:ind w:left="2520" w:firstLine="0"/>
        <w:rPr>
          <w:rFonts w:ascii="Century Gothic" w:hAnsi="Century Gothic" w:cs="Calibri"/>
        </w:rPr>
      </w:pPr>
    </w:p>
    <w:p w14:paraId="4F2634EA" w14:textId="7628A9A5" w:rsidR="003A313F" w:rsidRDefault="00334C62" w:rsidP="00DB2D5F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Adjustment</w:t>
      </w:r>
      <w:r w:rsidR="00765C8E">
        <w:rPr>
          <w:rFonts w:ascii="Century Gothic" w:hAnsi="Century Gothic" w:cs="Calibri"/>
        </w:rPr>
        <w:t>s</w:t>
      </w:r>
      <w:r>
        <w:rPr>
          <w:rFonts w:ascii="Century Gothic" w:hAnsi="Century Gothic" w:cs="Calibri"/>
        </w:rPr>
        <w:t xml:space="preserve"> to </w:t>
      </w:r>
      <w:r w:rsidR="001A3E95">
        <w:rPr>
          <w:rFonts w:ascii="Century Gothic" w:hAnsi="Century Gothic" w:cs="Calibri"/>
        </w:rPr>
        <w:t xml:space="preserve">regulatory accounts </w:t>
      </w:r>
      <w:r w:rsidR="00765C8E">
        <w:rPr>
          <w:rFonts w:ascii="Century Gothic" w:hAnsi="Century Gothic" w:cs="Calibri"/>
        </w:rPr>
        <w:t xml:space="preserve">(aka </w:t>
      </w:r>
      <w:r w:rsidR="001A3E95">
        <w:rPr>
          <w:rFonts w:ascii="Century Gothic" w:hAnsi="Century Gothic" w:cs="Calibri"/>
        </w:rPr>
        <w:t xml:space="preserve">“Balancing </w:t>
      </w:r>
      <w:r w:rsidR="005078F9">
        <w:rPr>
          <w:rFonts w:ascii="Century Gothic" w:hAnsi="Century Gothic" w:cs="Calibri"/>
        </w:rPr>
        <w:t>A</w:t>
      </w:r>
      <w:r w:rsidR="003876BE">
        <w:rPr>
          <w:rFonts w:ascii="Century Gothic" w:hAnsi="Century Gothic" w:cs="Calibri"/>
        </w:rPr>
        <w:t>ccount</w:t>
      </w:r>
      <w:r w:rsidR="001A3E95">
        <w:rPr>
          <w:rFonts w:ascii="Century Gothic" w:hAnsi="Century Gothic" w:cs="Calibri"/>
        </w:rPr>
        <w:t>s”</w:t>
      </w:r>
      <w:r w:rsidR="005078F9">
        <w:rPr>
          <w:rFonts w:ascii="Century Gothic" w:hAnsi="Century Gothic" w:cs="Calibri"/>
        </w:rPr>
        <w:t xml:space="preserve"> and “Memorandum Accounts</w:t>
      </w:r>
      <w:r w:rsidR="00C170EB">
        <w:rPr>
          <w:rFonts w:ascii="Century Gothic" w:hAnsi="Century Gothic" w:cs="Calibri"/>
        </w:rPr>
        <w:t>”</w:t>
      </w:r>
      <w:r w:rsidR="00765C8E">
        <w:rPr>
          <w:rFonts w:ascii="Century Gothic" w:hAnsi="Century Gothic" w:cs="Calibri"/>
        </w:rPr>
        <w:t>)</w:t>
      </w:r>
      <w:r w:rsidR="001C2596">
        <w:rPr>
          <w:rFonts w:ascii="Century Gothic" w:hAnsi="Century Gothic" w:cs="Calibri"/>
        </w:rPr>
        <w:t xml:space="preserve"> (</w:t>
      </w:r>
      <w:r w:rsidR="00600522">
        <w:rPr>
          <w:rFonts w:ascii="Century Gothic" w:hAnsi="Century Gothic" w:cs="Calibri"/>
        </w:rPr>
        <w:t>$106 million):</w:t>
      </w:r>
      <w:r w:rsidR="003A313F">
        <w:rPr>
          <w:rFonts w:ascii="Century Gothic" w:hAnsi="Century Gothic" w:cs="Calibri"/>
        </w:rPr>
        <w:t xml:space="preserve"> </w:t>
      </w:r>
      <w:r w:rsidR="005078F9">
        <w:rPr>
          <w:rFonts w:ascii="Century Gothic" w:hAnsi="Century Gothic" w:cs="Calibri"/>
        </w:rPr>
        <w:t xml:space="preserve">These </w:t>
      </w:r>
      <w:r w:rsidR="003A313F" w:rsidRPr="00A42786">
        <w:rPr>
          <w:rFonts w:ascii="Century Gothic" w:hAnsi="Century Gothic" w:cs="Calibri"/>
        </w:rPr>
        <w:t xml:space="preserve">accounts track the difference between the amount the CPUC authorized a utility to </w:t>
      </w:r>
      <w:r w:rsidR="003A313F" w:rsidRPr="003C3C6B">
        <w:rPr>
          <w:rFonts w:ascii="Century Gothic" w:hAnsi="Century Gothic" w:cs="Calibri"/>
        </w:rPr>
        <w:t xml:space="preserve">collect from customers through rates for a service, project, </w:t>
      </w:r>
      <w:r w:rsidR="003A313F" w:rsidRPr="00736ED1">
        <w:rPr>
          <w:rFonts w:ascii="Century Gothic" w:hAnsi="Century Gothic" w:cs="Calibri"/>
        </w:rPr>
        <w:t>etc., a</w:t>
      </w:r>
      <w:r w:rsidR="003A313F" w:rsidRPr="00404510">
        <w:rPr>
          <w:rFonts w:ascii="Century Gothic" w:hAnsi="Century Gothic" w:cs="Calibri"/>
        </w:rPr>
        <w:t xml:space="preserve">nd how much the utility </w:t>
      </w:r>
      <w:proofErr w:type="gramStart"/>
      <w:r w:rsidR="003A313F" w:rsidRPr="00404510">
        <w:rPr>
          <w:rFonts w:ascii="Century Gothic" w:hAnsi="Century Gothic" w:cs="Calibri"/>
        </w:rPr>
        <w:t>actually collected</w:t>
      </w:r>
      <w:proofErr w:type="gramEnd"/>
      <w:r w:rsidR="003A313F">
        <w:rPr>
          <w:rFonts w:ascii="Century Gothic" w:hAnsi="Century Gothic" w:cs="Calibri"/>
        </w:rPr>
        <w:t xml:space="preserve"> for </w:t>
      </w:r>
      <w:r w:rsidR="00DB2D5F">
        <w:rPr>
          <w:rFonts w:ascii="Century Gothic" w:hAnsi="Century Gothic" w:cs="Calibri"/>
        </w:rPr>
        <w:t>those items</w:t>
      </w:r>
      <w:r w:rsidR="00DB2D5F" w:rsidRPr="00736ED1">
        <w:rPr>
          <w:rFonts w:ascii="Century Gothic" w:hAnsi="Century Gothic" w:cs="Calibri"/>
        </w:rPr>
        <w:t xml:space="preserve"> </w:t>
      </w:r>
      <w:r w:rsidR="003A313F" w:rsidRPr="00736ED1">
        <w:rPr>
          <w:rFonts w:ascii="Century Gothic" w:hAnsi="Century Gothic" w:cs="Calibri"/>
        </w:rPr>
        <w:t xml:space="preserve">in rates from customers. </w:t>
      </w:r>
      <w:r w:rsidR="003A313F" w:rsidRPr="00A42786">
        <w:rPr>
          <w:rFonts w:ascii="Century Gothic" w:hAnsi="Century Gothic" w:cs="Calibri"/>
        </w:rPr>
        <w:t>In 202</w:t>
      </w:r>
      <w:r w:rsidR="00982E64">
        <w:rPr>
          <w:rFonts w:ascii="Century Gothic" w:hAnsi="Century Gothic" w:cs="Calibri"/>
        </w:rPr>
        <w:t>1</w:t>
      </w:r>
      <w:r w:rsidR="003A313F" w:rsidRPr="00A42786">
        <w:rPr>
          <w:rFonts w:ascii="Century Gothic" w:hAnsi="Century Gothic" w:cs="Calibri"/>
        </w:rPr>
        <w:t xml:space="preserve">, </w:t>
      </w:r>
      <w:r w:rsidR="00982E64">
        <w:rPr>
          <w:rFonts w:ascii="Century Gothic" w:hAnsi="Century Gothic" w:cs="Calibri"/>
        </w:rPr>
        <w:t>SC</w:t>
      </w:r>
      <w:r w:rsidR="003A313F">
        <w:rPr>
          <w:rFonts w:ascii="Century Gothic" w:hAnsi="Century Gothic" w:cs="Calibri"/>
        </w:rPr>
        <w:t xml:space="preserve">E </w:t>
      </w:r>
      <w:r w:rsidR="00974C38">
        <w:rPr>
          <w:rFonts w:ascii="Century Gothic" w:hAnsi="Century Gothic" w:cs="Calibri"/>
        </w:rPr>
        <w:t>collected less than it was authorized</w:t>
      </w:r>
      <w:r w:rsidR="003A313F">
        <w:rPr>
          <w:rFonts w:ascii="Century Gothic" w:hAnsi="Century Gothic" w:cs="Calibri"/>
        </w:rPr>
        <w:t xml:space="preserve"> </w:t>
      </w:r>
      <w:r w:rsidR="003F6E25">
        <w:rPr>
          <w:rFonts w:ascii="Century Gothic" w:hAnsi="Century Gothic" w:cs="Calibri"/>
        </w:rPr>
        <w:t>for electric vehicle charging ports</w:t>
      </w:r>
      <w:r w:rsidR="00974C38">
        <w:rPr>
          <w:rFonts w:ascii="Century Gothic" w:hAnsi="Century Gothic" w:cs="Calibri"/>
        </w:rPr>
        <w:t xml:space="preserve"> ($6.4M)</w:t>
      </w:r>
      <w:r w:rsidR="003F6E25">
        <w:rPr>
          <w:rFonts w:ascii="Century Gothic" w:hAnsi="Century Gothic" w:cs="Calibri"/>
        </w:rPr>
        <w:t xml:space="preserve">, </w:t>
      </w:r>
      <w:r w:rsidR="00FB0426">
        <w:rPr>
          <w:rFonts w:ascii="Century Gothic" w:hAnsi="Century Gothic" w:cs="Calibri"/>
        </w:rPr>
        <w:t xml:space="preserve">O&amp;M expenses </w:t>
      </w:r>
      <w:r w:rsidR="0064767E">
        <w:rPr>
          <w:rFonts w:ascii="Century Gothic" w:hAnsi="Century Gothic" w:cs="Calibri"/>
        </w:rPr>
        <w:t xml:space="preserve">associated with </w:t>
      </w:r>
      <w:r w:rsidR="004E5408">
        <w:rPr>
          <w:rFonts w:ascii="Century Gothic" w:hAnsi="Century Gothic" w:cs="Calibri"/>
        </w:rPr>
        <w:t xml:space="preserve">2017/2018 </w:t>
      </w:r>
      <w:r w:rsidR="0064767E">
        <w:rPr>
          <w:rFonts w:ascii="Century Gothic" w:hAnsi="Century Gothic" w:cs="Calibri"/>
        </w:rPr>
        <w:t>catastrophic event</w:t>
      </w:r>
      <w:r w:rsidR="00883535">
        <w:rPr>
          <w:rFonts w:ascii="Century Gothic" w:hAnsi="Century Gothic" w:cs="Calibri"/>
        </w:rPr>
        <w:t xml:space="preserve"> mitigation</w:t>
      </w:r>
      <w:r w:rsidR="00974C38">
        <w:rPr>
          <w:rFonts w:ascii="Century Gothic" w:hAnsi="Century Gothic" w:cs="Calibri"/>
        </w:rPr>
        <w:t xml:space="preserve"> ($83.3M)</w:t>
      </w:r>
      <w:r w:rsidR="0064767E">
        <w:rPr>
          <w:rFonts w:ascii="Century Gothic" w:hAnsi="Century Gothic" w:cs="Calibri"/>
        </w:rPr>
        <w:t>,</w:t>
      </w:r>
      <w:r w:rsidR="00974C38">
        <w:rPr>
          <w:rFonts w:ascii="Century Gothic" w:hAnsi="Century Gothic" w:cs="Calibri"/>
        </w:rPr>
        <w:t xml:space="preserve"> and</w:t>
      </w:r>
      <w:r w:rsidR="00193CB6">
        <w:rPr>
          <w:rFonts w:ascii="Century Gothic" w:hAnsi="Century Gothic" w:cs="Calibri"/>
        </w:rPr>
        <w:t xml:space="preserve"> </w:t>
      </w:r>
      <w:r w:rsidR="0019746E">
        <w:rPr>
          <w:rFonts w:ascii="Century Gothic" w:hAnsi="Century Gothic" w:cs="Calibri"/>
        </w:rPr>
        <w:t xml:space="preserve">Energy Resource Recovery Account (ERRA) </w:t>
      </w:r>
      <w:r w:rsidR="00E116FA">
        <w:rPr>
          <w:rFonts w:ascii="Century Gothic" w:hAnsi="Century Gothic" w:cs="Calibri"/>
        </w:rPr>
        <w:t>fuel and purchased power costs</w:t>
      </w:r>
      <w:r w:rsidR="00974C38">
        <w:rPr>
          <w:rFonts w:ascii="Century Gothic" w:hAnsi="Century Gothic" w:cs="Calibri"/>
        </w:rPr>
        <w:t xml:space="preserve"> ($16.1M)</w:t>
      </w:r>
      <w:r w:rsidR="003A313F">
        <w:rPr>
          <w:rFonts w:ascii="Century Gothic" w:hAnsi="Century Gothic" w:cs="Calibri"/>
        </w:rPr>
        <w:t xml:space="preserve">. </w:t>
      </w:r>
      <w:r w:rsidR="0019746E">
        <w:rPr>
          <w:rFonts w:ascii="Century Gothic" w:hAnsi="Century Gothic" w:cs="Calibri"/>
        </w:rPr>
        <w:t>The difference between the authorized and collected amounts, $106M, was granted to SCE.</w:t>
      </w:r>
    </w:p>
    <w:p w14:paraId="78BC1FA7" w14:textId="77777777" w:rsidR="00FD2B77" w:rsidRDefault="00FD2B77" w:rsidP="00A24859">
      <w:pPr>
        <w:pStyle w:val="ListParagraph"/>
        <w:spacing w:before="140"/>
        <w:ind w:left="1080" w:firstLine="0"/>
        <w:rPr>
          <w:rFonts w:ascii="Century Gothic" w:hAnsi="Century Gothic" w:cs="Calibri"/>
        </w:rPr>
      </w:pPr>
    </w:p>
    <w:p w14:paraId="577CF6DE" w14:textId="2B73FDEE" w:rsidR="00E3467E" w:rsidRDefault="00AF56A6" w:rsidP="00E3467E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In addition to the increases noted above, </w:t>
      </w:r>
      <w:r w:rsidR="00F67F79">
        <w:rPr>
          <w:rFonts w:ascii="Century Gothic" w:hAnsi="Century Gothic" w:cs="Calibri"/>
        </w:rPr>
        <w:t xml:space="preserve">two </w:t>
      </w:r>
      <w:r>
        <w:rPr>
          <w:rFonts w:ascii="Century Gothic" w:hAnsi="Century Gothic" w:cs="Calibri"/>
        </w:rPr>
        <w:t>additional categories of revenue and rate adjustments reduce</w:t>
      </w:r>
      <w:r w:rsidR="00DB2D5F">
        <w:rPr>
          <w:rFonts w:ascii="Century Gothic" w:hAnsi="Century Gothic" w:cs="Calibri"/>
        </w:rPr>
        <w:t>d</w:t>
      </w:r>
      <w:r>
        <w:rPr>
          <w:rFonts w:ascii="Century Gothic" w:hAnsi="Century Gothic" w:cs="Calibri"/>
        </w:rPr>
        <w:t xml:space="preserve"> costs</w:t>
      </w:r>
      <w:r w:rsidR="00F67F79">
        <w:rPr>
          <w:rFonts w:ascii="Century Gothic" w:hAnsi="Century Gothic" w:cs="Calibri"/>
        </w:rPr>
        <w:t xml:space="preserve"> and counteract the increases described above </w:t>
      </w:r>
      <w:r w:rsidR="00FF2812">
        <w:rPr>
          <w:rFonts w:ascii="Century Gothic" w:hAnsi="Century Gothic" w:cs="Calibri"/>
        </w:rPr>
        <w:t xml:space="preserve"> by </w:t>
      </w:r>
      <w:r w:rsidR="002672AD">
        <w:rPr>
          <w:rFonts w:ascii="Century Gothic" w:hAnsi="Century Gothic" w:cs="Calibri"/>
        </w:rPr>
        <w:t>2</w:t>
      </w:r>
      <w:r w:rsidR="00FF2812">
        <w:rPr>
          <w:rFonts w:ascii="Century Gothic" w:hAnsi="Century Gothic" w:cs="Calibri"/>
        </w:rPr>
        <w:t>.</w:t>
      </w:r>
      <w:r w:rsidR="002672AD">
        <w:rPr>
          <w:rFonts w:ascii="Century Gothic" w:hAnsi="Century Gothic" w:cs="Calibri"/>
        </w:rPr>
        <w:t>4</w:t>
      </w:r>
      <w:r w:rsidR="00FF2812">
        <w:rPr>
          <w:rFonts w:ascii="Century Gothic" w:hAnsi="Century Gothic" w:cs="Calibri"/>
        </w:rPr>
        <w:t>%</w:t>
      </w:r>
      <w:r>
        <w:rPr>
          <w:rFonts w:ascii="Century Gothic" w:hAnsi="Century Gothic" w:cs="Calibri"/>
        </w:rPr>
        <w:t xml:space="preserve">. </w:t>
      </w:r>
      <w:r w:rsidR="00EB0A85">
        <w:rPr>
          <w:rFonts w:ascii="Century Gothic" w:hAnsi="Century Gothic" w:cs="Calibri"/>
        </w:rPr>
        <w:t>Specifically, these decreases are from</w:t>
      </w:r>
      <w:r>
        <w:rPr>
          <w:rFonts w:ascii="Century Gothic" w:hAnsi="Century Gothic" w:cs="Calibri"/>
        </w:rPr>
        <w:t xml:space="preserve">:  </w:t>
      </w:r>
    </w:p>
    <w:p w14:paraId="4FBF1CB4" w14:textId="0C850194" w:rsidR="00400566" w:rsidRDefault="00DB2D5F" w:rsidP="00400566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The r</w:t>
      </w:r>
      <w:r w:rsidR="002672AD">
        <w:rPr>
          <w:rFonts w:ascii="Century Gothic" w:hAnsi="Century Gothic" w:cs="Calibri"/>
        </w:rPr>
        <w:t xml:space="preserve">emoval of </w:t>
      </w:r>
      <w:r w:rsidR="002B6759">
        <w:rPr>
          <w:rFonts w:ascii="Century Gothic" w:hAnsi="Century Gothic" w:cs="Calibri"/>
        </w:rPr>
        <w:t xml:space="preserve">2018-2020 </w:t>
      </w:r>
      <w:r w:rsidR="002672AD">
        <w:rPr>
          <w:rFonts w:ascii="Century Gothic" w:hAnsi="Century Gothic" w:cs="Calibri"/>
        </w:rPr>
        <w:t xml:space="preserve">Grid Safety and Resiliency Program </w:t>
      </w:r>
      <w:r w:rsidR="004444DD">
        <w:rPr>
          <w:rFonts w:ascii="Century Gothic" w:hAnsi="Century Gothic" w:cs="Calibri"/>
        </w:rPr>
        <w:t xml:space="preserve">cost </w:t>
      </w:r>
      <w:r w:rsidR="00400566">
        <w:rPr>
          <w:rFonts w:ascii="Century Gothic" w:hAnsi="Century Gothic" w:cs="Calibri"/>
        </w:rPr>
        <w:t>(</w:t>
      </w:r>
      <w:r w:rsidR="00FC054B">
        <w:rPr>
          <w:rFonts w:ascii="Century Gothic" w:hAnsi="Century Gothic" w:cs="Calibri"/>
        </w:rPr>
        <w:t>AL 4301-E</w:t>
      </w:r>
      <w:r w:rsidR="00400566">
        <w:rPr>
          <w:rFonts w:ascii="Century Gothic" w:hAnsi="Century Gothic" w:cs="Calibri"/>
        </w:rPr>
        <w:t>)</w:t>
      </w:r>
      <w:r w:rsidR="00194A88">
        <w:rPr>
          <w:rFonts w:ascii="Century Gothic" w:hAnsi="Century Gothic" w:cs="Calibri"/>
        </w:rPr>
        <w:t xml:space="preserve"> </w:t>
      </w:r>
      <w:r w:rsidR="00FB6041">
        <w:rPr>
          <w:rFonts w:ascii="Century Gothic" w:hAnsi="Century Gothic" w:cs="Calibri"/>
        </w:rPr>
        <w:t>(-$</w:t>
      </w:r>
      <w:r w:rsidR="00FC054B">
        <w:rPr>
          <w:rFonts w:ascii="Century Gothic" w:hAnsi="Century Gothic" w:cs="Calibri"/>
        </w:rPr>
        <w:t>158.6</w:t>
      </w:r>
      <w:r w:rsidR="00FB6041">
        <w:rPr>
          <w:rFonts w:ascii="Century Gothic" w:hAnsi="Century Gothic" w:cs="Calibri"/>
        </w:rPr>
        <w:t>M</w:t>
      </w:r>
      <w:r w:rsidR="00697DA1">
        <w:rPr>
          <w:rFonts w:ascii="Century Gothic" w:hAnsi="Century Gothic" w:cs="Calibri"/>
        </w:rPr>
        <w:t xml:space="preserve"> or </w:t>
      </w:r>
      <w:r w:rsidR="00FD18C4">
        <w:rPr>
          <w:rFonts w:ascii="Century Gothic" w:hAnsi="Century Gothic" w:cs="Calibri"/>
        </w:rPr>
        <w:t>-1.2% rate reduction</w:t>
      </w:r>
      <w:r w:rsidR="00477FF2">
        <w:rPr>
          <w:rFonts w:ascii="Century Gothic" w:hAnsi="Century Gothic" w:cs="Calibri"/>
        </w:rPr>
        <w:t>)</w:t>
      </w:r>
      <w:r w:rsidR="003E2D16">
        <w:rPr>
          <w:rFonts w:ascii="Century Gothic" w:hAnsi="Century Gothic" w:cs="Calibri"/>
        </w:rPr>
        <w:t xml:space="preserve">, which </w:t>
      </w:r>
      <w:r>
        <w:rPr>
          <w:rFonts w:ascii="Century Gothic" w:hAnsi="Century Gothic" w:cs="Calibri"/>
        </w:rPr>
        <w:t>w</w:t>
      </w:r>
      <w:r w:rsidR="003E2D16">
        <w:rPr>
          <w:rFonts w:ascii="Century Gothic" w:hAnsi="Century Gothic" w:cs="Calibri"/>
        </w:rPr>
        <w:t>as fully recovered from ratepayers between October 1, 2020</w:t>
      </w:r>
      <w:r w:rsidR="005078F9">
        <w:rPr>
          <w:rFonts w:ascii="Century Gothic" w:hAnsi="Century Gothic" w:cs="Calibri"/>
        </w:rPr>
        <w:t>,</w:t>
      </w:r>
      <w:r w:rsidR="003E2D16">
        <w:rPr>
          <w:rFonts w:ascii="Century Gothic" w:hAnsi="Century Gothic" w:cs="Calibri"/>
        </w:rPr>
        <w:t xml:space="preserve"> and September </w:t>
      </w:r>
      <w:r w:rsidR="00B023FE">
        <w:rPr>
          <w:rFonts w:ascii="Century Gothic" w:hAnsi="Century Gothic" w:cs="Calibri"/>
        </w:rPr>
        <w:t>30, 2021</w:t>
      </w:r>
      <w:r w:rsidR="004444DD">
        <w:rPr>
          <w:rFonts w:ascii="Century Gothic" w:hAnsi="Century Gothic" w:cs="Calibri"/>
        </w:rPr>
        <w:t xml:space="preserve">. </w:t>
      </w:r>
    </w:p>
    <w:p w14:paraId="1CE72DCA" w14:textId="77777777" w:rsidR="0082392D" w:rsidRDefault="0082392D" w:rsidP="008B3496">
      <w:pPr>
        <w:pStyle w:val="ListParagraph"/>
        <w:spacing w:before="140"/>
        <w:ind w:left="1800" w:firstLine="0"/>
        <w:rPr>
          <w:rFonts w:ascii="Century Gothic" w:hAnsi="Century Gothic" w:cs="Calibri"/>
        </w:rPr>
      </w:pPr>
    </w:p>
    <w:p w14:paraId="33517796" w14:textId="2A9478B3" w:rsidR="00BB2F63" w:rsidRPr="008B3496" w:rsidRDefault="00DB2D5F" w:rsidP="0082392D">
      <w:pPr>
        <w:pStyle w:val="ListParagraph"/>
        <w:numPr>
          <w:ilvl w:val="0"/>
          <w:numId w:val="21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The a</w:t>
      </w:r>
      <w:r w:rsidR="003348EA">
        <w:rPr>
          <w:rFonts w:ascii="Century Gothic" w:hAnsi="Century Gothic" w:cs="Calibri"/>
        </w:rPr>
        <w:t>nnual routine a</w:t>
      </w:r>
      <w:r w:rsidR="007448F2">
        <w:rPr>
          <w:rFonts w:ascii="Century Gothic" w:hAnsi="Century Gothic" w:cs="Calibri"/>
        </w:rPr>
        <w:t>djust</w:t>
      </w:r>
      <w:r w:rsidR="0024630F">
        <w:rPr>
          <w:rFonts w:ascii="Century Gothic" w:hAnsi="Century Gothic" w:cs="Calibri"/>
        </w:rPr>
        <w:t xml:space="preserve">ment </w:t>
      </w:r>
      <w:r w:rsidR="003348EA">
        <w:rPr>
          <w:rFonts w:ascii="Century Gothic" w:hAnsi="Century Gothic" w:cs="Calibri"/>
        </w:rPr>
        <w:t>to</w:t>
      </w:r>
      <w:r w:rsidR="00893B21">
        <w:rPr>
          <w:rFonts w:ascii="Century Gothic" w:hAnsi="Century Gothic" w:cs="Calibri"/>
        </w:rPr>
        <w:t xml:space="preserve"> the </w:t>
      </w:r>
      <w:r w:rsidR="00473915">
        <w:rPr>
          <w:rFonts w:ascii="Century Gothic" w:hAnsi="Century Gothic" w:cs="Calibri"/>
        </w:rPr>
        <w:t>Fixed Recovery Charge associated with Assembly Bill 1054 Recovery Bonds</w:t>
      </w:r>
      <w:r w:rsidR="00F67F79">
        <w:rPr>
          <w:rFonts w:ascii="Century Gothic" w:hAnsi="Century Gothic" w:cs="Calibri"/>
        </w:rPr>
        <w:t xml:space="preserve"> (</w:t>
      </w:r>
      <w:r w:rsidR="00D92C91">
        <w:rPr>
          <w:rFonts w:ascii="Century Gothic" w:hAnsi="Century Gothic" w:cs="Calibri"/>
        </w:rPr>
        <w:t>1.2% rate</w:t>
      </w:r>
      <w:r w:rsidR="00697DA1">
        <w:rPr>
          <w:rFonts w:ascii="Century Gothic" w:hAnsi="Century Gothic" w:cs="Calibri"/>
        </w:rPr>
        <w:t xml:space="preserve"> reduction</w:t>
      </w:r>
      <w:r w:rsidR="00F67F79" w:rsidRPr="00D12552">
        <w:rPr>
          <w:rFonts w:ascii="Century Gothic" w:hAnsi="Century Gothic" w:cs="Calibri"/>
        </w:rPr>
        <w:t>)</w:t>
      </w:r>
      <w:r w:rsidR="00697DA1" w:rsidRPr="00D12552">
        <w:rPr>
          <w:rFonts w:ascii="Century Gothic" w:hAnsi="Century Gothic" w:cs="Calibri"/>
        </w:rPr>
        <w:t>.</w:t>
      </w:r>
      <w:r w:rsidR="007E04DE" w:rsidRPr="00D12552">
        <w:rPr>
          <w:rFonts w:ascii="Century Gothic" w:hAnsi="Century Gothic" w:cs="Calibri"/>
        </w:rPr>
        <w:t xml:space="preserve"> </w:t>
      </w:r>
      <w:bookmarkStart w:id="0" w:name="_Hlk83381714"/>
      <w:r w:rsidR="00D12552" w:rsidRPr="00D12552">
        <w:rPr>
          <w:rFonts w:ascii="Century Gothic" w:eastAsia="Times New Roman" w:hAnsi="Century Gothic"/>
        </w:rPr>
        <w:t>Assembly Bill 1054 allows SCE, with CPUC approval, to issue long term bonds to finance certain costs and expenses related to catastrophic wildfires, including fire risk mitigation capital expenditures</w:t>
      </w:r>
      <w:r w:rsidR="00D12552">
        <w:rPr>
          <w:rFonts w:ascii="Century Gothic" w:eastAsia="Times New Roman" w:hAnsi="Century Gothic"/>
        </w:rPr>
        <w:t>.</w:t>
      </w:r>
      <w:bookmarkEnd w:id="0"/>
    </w:p>
    <w:sectPr w:rsidR="00BB2F63" w:rsidRPr="008B3496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97ED" w14:textId="77777777" w:rsidR="008866F0" w:rsidRDefault="008866F0">
      <w:r>
        <w:separator/>
      </w:r>
    </w:p>
    <w:p w14:paraId="1C26169F" w14:textId="77777777" w:rsidR="008866F0" w:rsidRDefault="008866F0"/>
  </w:endnote>
  <w:endnote w:type="continuationSeparator" w:id="0">
    <w:p w14:paraId="08F6FF64" w14:textId="77777777" w:rsidR="008866F0" w:rsidRDefault="008866F0">
      <w:r>
        <w:continuationSeparator/>
      </w:r>
    </w:p>
    <w:p w14:paraId="06B05B80" w14:textId="77777777" w:rsidR="008866F0" w:rsidRDefault="00886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0A8212" w14:textId="77777777" w:rsidR="00A42FDB" w:rsidRDefault="007C2ECE" w:rsidP="00AA5D1C">
        <w:pPr>
          <w:pStyle w:val="Footer"/>
          <w:rPr>
            <w:rStyle w:val="PageNumber"/>
          </w:rPr>
        </w:pPr>
      </w:p>
    </w:sdtContent>
  </w:sdt>
  <w:p w14:paraId="2F2CD8F6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A60CA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6B2FFFAB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5CB80066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19F43A33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1D76" w14:textId="77777777" w:rsidR="008866F0" w:rsidRDefault="008866F0">
      <w:r>
        <w:separator/>
      </w:r>
    </w:p>
    <w:p w14:paraId="7C292735" w14:textId="77777777" w:rsidR="008866F0" w:rsidRDefault="008866F0"/>
  </w:footnote>
  <w:footnote w:type="continuationSeparator" w:id="0">
    <w:p w14:paraId="0421CBB0" w14:textId="77777777" w:rsidR="008866F0" w:rsidRDefault="008866F0">
      <w:r>
        <w:continuationSeparator/>
      </w:r>
    </w:p>
    <w:p w14:paraId="1F8FC634" w14:textId="77777777" w:rsidR="008866F0" w:rsidRDefault="008866F0"/>
  </w:footnote>
  <w:footnote w:id="1">
    <w:p w14:paraId="2493188E" w14:textId="77777777"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 xml:space="preserve">” residential </w:t>
      </w:r>
      <w:r w:rsidR="00861CBE">
        <w:rPr>
          <w:rFonts w:ascii="Century Gothic" w:hAnsi="Century Gothic"/>
          <w:sz w:val="22"/>
          <w:szCs w:val="22"/>
        </w:rPr>
        <w:t xml:space="preserve">bundled </w:t>
      </w:r>
      <w:r w:rsidR="00354A4E" w:rsidRPr="00960036">
        <w:rPr>
          <w:rFonts w:ascii="Century Gothic" w:hAnsi="Century Gothic"/>
          <w:sz w:val="22"/>
          <w:szCs w:val="22"/>
        </w:rPr>
        <w:t xml:space="preserve">customer using, on average, </w:t>
      </w:r>
      <w:r w:rsidR="004E1EB7">
        <w:rPr>
          <w:rFonts w:ascii="Century Gothic" w:hAnsi="Century Gothic"/>
          <w:sz w:val="22"/>
          <w:szCs w:val="22"/>
        </w:rPr>
        <w:t>500</w:t>
      </w:r>
      <w:r w:rsidRPr="00960036">
        <w:rPr>
          <w:rFonts w:ascii="Century Gothic" w:hAnsi="Century Gothic"/>
          <w:sz w:val="22"/>
          <w:szCs w:val="22"/>
        </w:rPr>
        <w:t xml:space="preserve"> kilowatt-hours per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1F2D4FAF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6783FD65" w14:textId="1B7113CD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A5BB4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October 2021</w:t>
          </w:r>
        </w:p>
      </w:tc>
      <w:tc>
        <w:tcPr>
          <w:tcW w:w="6151" w:type="dxa"/>
          <w:shd w:val="clear" w:color="auto" w:fill="002060"/>
          <w:vAlign w:val="center"/>
        </w:tcPr>
        <w:p w14:paraId="4D9D0C1E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1CE6C17A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5B993258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13A94123" wp14:editId="5F34927C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856ADC3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09FAC5BE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0C1E80FA" w14:textId="79F8F8E0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34119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October</w:t>
          </w:r>
          <w:r w:rsidR="00E451FA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="00A26DF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2021</w:t>
          </w:r>
        </w:p>
      </w:tc>
      <w:tc>
        <w:tcPr>
          <w:tcW w:w="6151" w:type="dxa"/>
          <w:shd w:val="clear" w:color="auto" w:fill="002060"/>
          <w:vAlign w:val="center"/>
        </w:tcPr>
        <w:p w14:paraId="0946A0EF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7598A772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7C5CAA36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7EE496C7" wp14:editId="22795A8A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80C1B1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55C98"/>
    <w:multiLevelType w:val="hybridMultilevel"/>
    <w:tmpl w:val="012EA4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A002A8"/>
    <w:multiLevelType w:val="hybridMultilevel"/>
    <w:tmpl w:val="0D688988"/>
    <w:lvl w:ilvl="0" w:tplc="A67EB8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735AE"/>
    <w:multiLevelType w:val="hybridMultilevel"/>
    <w:tmpl w:val="FD1E2FA6"/>
    <w:lvl w:ilvl="0" w:tplc="A67EB8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5C4E14"/>
    <w:multiLevelType w:val="multilevel"/>
    <w:tmpl w:val="32C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0"/>
  </w:num>
  <w:num w:numId="5">
    <w:abstractNumId w:val="2"/>
  </w:num>
  <w:num w:numId="6">
    <w:abstractNumId w:val="17"/>
  </w:num>
  <w:num w:numId="7">
    <w:abstractNumId w:val="4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16"/>
  </w:num>
  <w:num w:numId="13">
    <w:abstractNumId w:val="3"/>
  </w:num>
  <w:num w:numId="14">
    <w:abstractNumId w:val="14"/>
  </w:num>
  <w:num w:numId="15">
    <w:abstractNumId w:val="1"/>
  </w:num>
  <w:num w:numId="16">
    <w:abstractNumId w:val="9"/>
  </w:num>
  <w:num w:numId="17">
    <w:abstractNumId w:val="19"/>
  </w:num>
  <w:num w:numId="18">
    <w:abstractNumId w:val="13"/>
  </w:num>
  <w:num w:numId="19">
    <w:abstractNumId w:val="18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5F0"/>
    <w:rsid w:val="00017089"/>
    <w:rsid w:val="00023054"/>
    <w:rsid w:val="00023A36"/>
    <w:rsid w:val="00023E19"/>
    <w:rsid w:val="00024CF2"/>
    <w:rsid w:val="00025477"/>
    <w:rsid w:val="00025EEC"/>
    <w:rsid w:val="00026904"/>
    <w:rsid w:val="00026B38"/>
    <w:rsid w:val="00027DF1"/>
    <w:rsid w:val="00031903"/>
    <w:rsid w:val="0003222D"/>
    <w:rsid w:val="000327F4"/>
    <w:rsid w:val="00034FD9"/>
    <w:rsid w:val="00041AA7"/>
    <w:rsid w:val="00045CDD"/>
    <w:rsid w:val="0006665E"/>
    <w:rsid w:val="0007148B"/>
    <w:rsid w:val="0007337D"/>
    <w:rsid w:val="00076DD2"/>
    <w:rsid w:val="000808F7"/>
    <w:rsid w:val="00082BD3"/>
    <w:rsid w:val="000858CE"/>
    <w:rsid w:val="0008752C"/>
    <w:rsid w:val="000A02A7"/>
    <w:rsid w:val="000A298C"/>
    <w:rsid w:val="000A37E9"/>
    <w:rsid w:val="000A58EF"/>
    <w:rsid w:val="000B3A87"/>
    <w:rsid w:val="000B6F88"/>
    <w:rsid w:val="000C10F9"/>
    <w:rsid w:val="000C2172"/>
    <w:rsid w:val="000C4126"/>
    <w:rsid w:val="000C5650"/>
    <w:rsid w:val="000D0C25"/>
    <w:rsid w:val="000D17D3"/>
    <w:rsid w:val="000D6E0B"/>
    <w:rsid w:val="000E3D03"/>
    <w:rsid w:val="00111CEF"/>
    <w:rsid w:val="00113741"/>
    <w:rsid w:val="0011533B"/>
    <w:rsid w:val="0012102F"/>
    <w:rsid w:val="001227B5"/>
    <w:rsid w:val="00130972"/>
    <w:rsid w:val="0013200C"/>
    <w:rsid w:val="001441B1"/>
    <w:rsid w:val="00152406"/>
    <w:rsid w:val="00154274"/>
    <w:rsid w:val="00165273"/>
    <w:rsid w:val="00166BB9"/>
    <w:rsid w:val="00173FD2"/>
    <w:rsid w:val="001742DA"/>
    <w:rsid w:val="00176281"/>
    <w:rsid w:val="00181170"/>
    <w:rsid w:val="001923C3"/>
    <w:rsid w:val="00193CB6"/>
    <w:rsid w:val="00194A88"/>
    <w:rsid w:val="0019746E"/>
    <w:rsid w:val="00197C00"/>
    <w:rsid w:val="001A32D5"/>
    <w:rsid w:val="001A3E95"/>
    <w:rsid w:val="001B54DD"/>
    <w:rsid w:val="001B6393"/>
    <w:rsid w:val="001C2596"/>
    <w:rsid w:val="001D291E"/>
    <w:rsid w:val="001D6523"/>
    <w:rsid w:val="001D6674"/>
    <w:rsid w:val="001D6CAE"/>
    <w:rsid w:val="001E4109"/>
    <w:rsid w:val="001F2387"/>
    <w:rsid w:val="001F7C6B"/>
    <w:rsid w:val="002005CC"/>
    <w:rsid w:val="002027EB"/>
    <w:rsid w:val="00205E15"/>
    <w:rsid w:val="00210772"/>
    <w:rsid w:val="00211A70"/>
    <w:rsid w:val="00211E52"/>
    <w:rsid w:val="00216078"/>
    <w:rsid w:val="002164F7"/>
    <w:rsid w:val="00220C86"/>
    <w:rsid w:val="00220EB9"/>
    <w:rsid w:val="0022257D"/>
    <w:rsid w:val="002255D7"/>
    <w:rsid w:val="00225BA9"/>
    <w:rsid w:val="0022639A"/>
    <w:rsid w:val="00226EBB"/>
    <w:rsid w:val="00227B7D"/>
    <w:rsid w:val="00231E14"/>
    <w:rsid w:val="0024182E"/>
    <w:rsid w:val="00244F7D"/>
    <w:rsid w:val="0024630F"/>
    <w:rsid w:val="00246859"/>
    <w:rsid w:val="00247273"/>
    <w:rsid w:val="00247CD5"/>
    <w:rsid w:val="00247F2E"/>
    <w:rsid w:val="00250C3A"/>
    <w:rsid w:val="00255C41"/>
    <w:rsid w:val="00256396"/>
    <w:rsid w:val="002604B0"/>
    <w:rsid w:val="00263A9E"/>
    <w:rsid w:val="00264F19"/>
    <w:rsid w:val="002672AD"/>
    <w:rsid w:val="0027768E"/>
    <w:rsid w:val="002826A9"/>
    <w:rsid w:val="0029088B"/>
    <w:rsid w:val="00297C7C"/>
    <w:rsid w:val="002A2068"/>
    <w:rsid w:val="002A2DE6"/>
    <w:rsid w:val="002A41E4"/>
    <w:rsid w:val="002A470B"/>
    <w:rsid w:val="002A770B"/>
    <w:rsid w:val="002B2978"/>
    <w:rsid w:val="002B32F2"/>
    <w:rsid w:val="002B3922"/>
    <w:rsid w:val="002B4329"/>
    <w:rsid w:val="002B6759"/>
    <w:rsid w:val="002C361D"/>
    <w:rsid w:val="002C4428"/>
    <w:rsid w:val="002D55E3"/>
    <w:rsid w:val="002F187F"/>
    <w:rsid w:val="002F4FF2"/>
    <w:rsid w:val="002F6940"/>
    <w:rsid w:val="003130EE"/>
    <w:rsid w:val="00313C67"/>
    <w:rsid w:val="003148B3"/>
    <w:rsid w:val="00322C4F"/>
    <w:rsid w:val="0032676E"/>
    <w:rsid w:val="00326C15"/>
    <w:rsid w:val="0032777C"/>
    <w:rsid w:val="00330875"/>
    <w:rsid w:val="00330D67"/>
    <w:rsid w:val="00331A8E"/>
    <w:rsid w:val="00332952"/>
    <w:rsid w:val="003348EA"/>
    <w:rsid w:val="00334C62"/>
    <w:rsid w:val="003373DE"/>
    <w:rsid w:val="00341192"/>
    <w:rsid w:val="0034185F"/>
    <w:rsid w:val="003422C2"/>
    <w:rsid w:val="0034664D"/>
    <w:rsid w:val="0035260C"/>
    <w:rsid w:val="00353BE3"/>
    <w:rsid w:val="00354A4E"/>
    <w:rsid w:val="0036029F"/>
    <w:rsid w:val="003614C7"/>
    <w:rsid w:val="003675B4"/>
    <w:rsid w:val="003725B8"/>
    <w:rsid w:val="00375A37"/>
    <w:rsid w:val="00383440"/>
    <w:rsid w:val="003876BE"/>
    <w:rsid w:val="00393510"/>
    <w:rsid w:val="003A313F"/>
    <w:rsid w:val="003A410B"/>
    <w:rsid w:val="003A5EDF"/>
    <w:rsid w:val="003B1368"/>
    <w:rsid w:val="003B60EF"/>
    <w:rsid w:val="003C6E4E"/>
    <w:rsid w:val="003D265D"/>
    <w:rsid w:val="003D72D0"/>
    <w:rsid w:val="003E0AEE"/>
    <w:rsid w:val="003E1C2B"/>
    <w:rsid w:val="003E2336"/>
    <w:rsid w:val="003E2AB6"/>
    <w:rsid w:val="003E2D16"/>
    <w:rsid w:val="003E350D"/>
    <w:rsid w:val="003E59DC"/>
    <w:rsid w:val="003E6280"/>
    <w:rsid w:val="003F19FF"/>
    <w:rsid w:val="003F497F"/>
    <w:rsid w:val="003F4BC7"/>
    <w:rsid w:val="003F6E25"/>
    <w:rsid w:val="00400566"/>
    <w:rsid w:val="0040086D"/>
    <w:rsid w:val="004041BA"/>
    <w:rsid w:val="004066B7"/>
    <w:rsid w:val="004109D4"/>
    <w:rsid w:val="004116D1"/>
    <w:rsid w:val="0041258E"/>
    <w:rsid w:val="00420AE1"/>
    <w:rsid w:val="00420D07"/>
    <w:rsid w:val="00421E5E"/>
    <w:rsid w:val="004308B1"/>
    <w:rsid w:val="00433148"/>
    <w:rsid w:val="00433B14"/>
    <w:rsid w:val="00433CE9"/>
    <w:rsid w:val="004430A4"/>
    <w:rsid w:val="004444DD"/>
    <w:rsid w:val="00444D71"/>
    <w:rsid w:val="00456C4F"/>
    <w:rsid w:val="004576EC"/>
    <w:rsid w:val="00461218"/>
    <w:rsid w:val="004642EC"/>
    <w:rsid w:val="00467C49"/>
    <w:rsid w:val="004706BE"/>
    <w:rsid w:val="00473915"/>
    <w:rsid w:val="00474F83"/>
    <w:rsid w:val="00477FF2"/>
    <w:rsid w:val="00487649"/>
    <w:rsid w:val="00487DDA"/>
    <w:rsid w:val="004941D2"/>
    <w:rsid w:val="00497EB9"/>
    <w:rsid w:val="004A2C07"/>
    <w:rsid w:val="004A69F1"/>
    <w:rsid w:val="004A7E44"/>
    <w:rsid w:val="004B0515"/>
    <w:rsid w:val="004B2079"/>
    <w:rsid w:val="004C33DE"/>
    <w:rsid w:val="004C5737"/>
    <w:rsid w:val="004E0384"/>
    <w:rsid w:val="004E154E"/>
    <w:rsid w:val="004E1EB7"/>
    <w:rsid w:val="004E5408"/>
    <w:rsid w:val="004F0663"/>
    <w:rsid w:val="004F0FB0"/>
    <w:rsid w:val="004F467C"/>
    <w:rsid w:val="004F7B2B"/>
    <w:rsid w:val="00500A02"/>
    <w:rsid w:val="00504B17"/>
    <w:rsid w:val="00506C17"/>
    <w:rsid w:val="005078F9"/>
    <w:rsid w:val="0051222C"/>
    <w:rsid w:val="00512B1B"/>
    <w:rsid w:val="00513835"/>
    <w:rsid w:val="005179CC"/>
    <w:rsid w:val="0052226D"/>
    <w:rsid w:val="005240C3"/>
    <w:rsid w:val="0052755A"/>
    <w:rsid w:val="00530D7C"/>
    <w:rsid w:val="00531FB3"/>
    <w:rsid w:val="0053241B"/>
    <w:rsid w:val="00532841"/>
    <w:rsid w:val="00532EA7"/>
    <w:rsid w:val="005363FD"/>
    <w:rsid w:val="005372D9"/>
    <w:rsid w:val="0054359F"/>
    <w:rsid w:val="00546A7D"/>
    <w:rsid w:val="0054787E"/>
    <w:rsid w:val="005517C6"/>
    <w:rsid w:val="005520A2"/>
    <w:rsid w:val="00552B0C"/>
    <w:rsid w:val="005566B9"/>
    <w:rsid w:val="005659C4"/>
    <w:rsid w:val="00567FFB"/>
    <w:rsid w:val="00571C5D"/>
    <w:rsid w:val="00575FEF"/>
    <w:rsid w:val="00577971"/>
    <w:rsid w:val="00583A04"/>
    <w:rsid w:val="00590D03"/>
    <w:rsid w:val="005917FB"/>
    <w:rsid w:val="00596E1D"/>
    <w:rsid w:val="005A08CC"/>
    <w:rsid w:val="005A10B8"/>
    <w:rsid w:val="005A1B62"/>
    <w:rsid w:val="005A4993"/>
    <w:rsid w:val="005C15E3"/>
    <w:rsid w:val="005C4EC3"/>
    <w:rsid w:val="005D13A8"/>
    <w:rsid w:val="005D2EAB"/>
    <w:rsid w:val="005D7D25"/>
    <w:rsid w:val="005E07D0"/>
    <w:rsid w:val="005E4368"/>
    <w:rsid w:val="005F4F7C"/>
    <w:rsid w:val="00600522"/>
    <w:rsid w:val="00600EF0"/>
    <w:rsid w:val="006018B6"/>
    <w:rsid w:val="006200CA"/>
    <w:rsid w:val="00640B0E"/>
    <w:rsid w:val="006431EF"/>
    <w:rsid w:val="00645B76"/>
    <w:rsid w:val="006465FE"/>
    <w:rsid w:val="006472E9"/>
    <w:rsid w:val="0064767E"/>
    <w:rsid w:val="00661780"/>
    <w:rsid w:val="00664C8E"/>
    <w:rsid w:val="00670772"/>
    <w:rsid w:val="006720B2"/>
    <w:rsid w:val="00672C0F"/>
    <w:rsid w:val="0067331F"/>
    <w:rsid w:val="006747CF"/>
    <w:rsid w:val="00674A43"/>
    <w:rsid w:val="00680A0B"/>
    <w:rsid w:val="00680B26"/>
    <w:rsid w:val="006817F9"/>
    <w:rsid w:val="00682015"/>
    <w:rsid w:val="00682BFD"/>
    <w:rsid w:val="006837AC"/>
    <w:rsid w:val="006927C5"/>
    <w:rsid w:val="00693FCB"/>
    <w:rsid w:val="00696EAB"/>
    <w:rsid w:val="00697DA1"/>
    <w:rsid w:val="006A05D6"/>
    <w:rsid w:val="006A3C29"/>
    <w:rsid w:val="006A6DD1"/>
    <w:rsid w:val="006B3518"/>
    <w:rsid w:val="006B7F07"/>
    <w:rsid w:val="006C4CF0"/>
    <w:rsid w:val="006C73E5"/>
    <w:rsid w:val="006C7CCA"/>
    <w:rsid w:val="006D4605"/>
    <w:rsid w:val="006D5A7C"/>
    <w:rsid w:val="006D7FBD"/>
    <w:rsid w:val="006E5FE0"/>
    <w:rsid w:val="006F186F"/>
    <w:rsid w:val="006F4F92"/>
    <w:rsid w:val="00704D6C"/>
    <w:rsid w:val="00714B95"/>
    <w:rsid w:val="00715879"/>
    <w:rsid w:val="00715E59"/>
    <w:rsid w:val="00717704"/>
    <w:rsid w:val="007205D8"/>
    <w:rsid w:val="007213FF"/>
    <w:rsid w:val="00722F32"/>
    <w:rsid w:val="007337FB"/>
    <w:rsid w:val="007350FA"/>
    <w:rsid w:val="0073542E"/>
    <w:rsid w:val="00736959"/>
    <w:rsid w:val="00740A58"/>
    <w:rsid w:val="00744580"/>
    <w:rsid w:val="007448F2"/>
    <w:rsid w:val="00747A77"/>
    <w:rsid w:val="00750033"/>
    <w:rsid w:val="007501A3"/>
    <w:rsid w:val="00751015"/>
    <w:rsid w:val="00754252"/>
    <w:rsid w:val="00754EBC"/>
    <w:rsid w:val="0075685A"/>
    <w:rsid w:val="00763AF7"/>
    <w:rsid w:val="00764CCE"/>
    <w:rsid w:val="00765C8E"/>
    <w:rsid w:val="00770686"/>
    <w:rsid w:val="00774A18"/>
    <w:rsid w:val="00774E68"/>
    <w:rsid w:val="0077538E"/>
    <w:rsid w:val="007821A8"/>
    <w:rsid w:val="0078294C"/>
    <w:rsid w:val="00785260"/>
    <w:rsid w:val="007875CA"/>
    <w:rsid w:val="0079582D"/>
    <w:rsid w:val="00797A71"/>
    <w:rsid w:val="007A3BE1"/>
    <w:rsid w:val="007A4959"/>
    <w:rsid w:val="007B22E5"/>
    <w:rsid w:val="007B4917"/>
    <w:rsid w:val="007B693A"/>
    <w:rsid w:val="007B6E1C"/>
    <w:rsid w:val="007C0FA4"/>
    <w:rsid w:val="007C2ECE"/>
    <w:rsid w:val="007C4598"/>
    <w:rsid w:val="007D3266"/>
    <w:rsid w:val="007D4187"/>
    <w:rsid w:val="007D4F4D"/>
    <w:rsid w:val="007E04DE"/>
    <w:rsid w:val="007E117C"/>
    <w:rsid w:val="007E53BD"/>
    <w:rsid w:val="007F2297"/>
    <w:rsid w:val="007F4948"/>
    <w:rsid w:val="007F6FCF"/>
    <w:rsid w:val="007F735D"/>
    <w:rsid w:val="0080144B"/>
    <w:rsid w:val="008028BD"/>
    <w:rsid w:val="00804A0B"/>
    <w:rsid w:val="00805C23"/>
    <w:rsid w:val="00821BC9"/>
    <w:rsid w:val="0082392D"/>
    <w:rsid w:val="00826202"/>
    <w:rsid w:val="0085067B"/>
    <w:rsid w:val="00851B27"/>
    <w:rsid w:val="00851DBB"/>
    <w:rsid w:val="00860A36"/>
    <w:rsid w:val="008611D6"/>
    <w:rsid w:val="00861CBE"/>
    <w:rsid w:val="00863057"/>
    <w:rsid w:val="008733C1"/>
    <w:rsid w:val="0087708C"/>
    <w:rsid w:val="00883535"/>
    <w:rsid w:val="00883AF0"/>
    <w:rsid w:val="0088523A"/>
    <w:rsid w:val="008866F0"/>
    <w:rsid w:val="0089340B"/>
    <w:rsid w:val="00893B21"/>
    <w:rsid w:val="00894283"/>
    <w:rsid w:val="00896969"/>
    <w:rsid w:val="008A19CA"/>
    <w:rsid w:val="008A6958"/>
    <w:rsid w:val="008A7DB0"/>
    <w:rsid w:val="008B3496"/>
    <w:rsid w:val="008B4F7C"/>
    <w:rsid w:val="008B4FB2"/>
    <w:rsid w:val="008B545E"/>
    <w:rsid w:val="008C068D"/>
    <w:rsid w:val="008C2E64"/>
    <w:rsid w:val="008D689E"/>
    <w:rsid w:val="008F0EAE"/>
    <w:rsid w:val="008F3C57"/>
    <w:rsid w:val="009028CF"/>
    <w:rsid w:val="00904F9A"/>
    <w:rsid w:val="00906436"/>
    <w:rsid w:val="00906D2F"/>
    <w:rsid w:val="00907739"/>
    <w:rsid w:val="0091796E"/>
    <w:rsid w:val="0092082F"/>
    <w:rsid w:val="00923392"/>
    <w:rsid w:val="00960036"/>
    <w:rsid w:val="00960614"/>
    <w:rsid w:val="00962953"/>
    <w:rsid w:val="009630B7"/>
    <w:rsid w:val="00974C38"/>
    <w:rsid w:val="00980D48"/>
    <w:rsid w:val="00981344"/>
    <w:rsid w:val="00982E64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B2BD7"/>
    <w:rsid w:val="009C033E"/>
    <w:rsid w:val="009C08EA"/>
    <w:rsid w:val="009C1F06"/>
    <w:rsid w:val="009C3CFA"/>
    <w:rsid w:val="009C413D"/>
    <w:rsid w:val="009C489E"/>
    <w:rsid w:val="009C64BF"/>
    <w:rsid w:val="009C77F0"/>
    <w:rsid w:val="009F2F79"/>
    <w:rsid w:val="009F37FD"/>
    <w:rsid w:val="00A04EDD"/>
    <w:rsid w:val="00A079BB"/>
    <w:rsid w:val="00A100CA"/>
    <w:rsid w:val="00A1257C"/>
    <w:rsid w:val="00A12A44"/>
    <w:rsid w:val="00A13F4C"/>
    <w:rsid w:val="00A14F8E"/>
    <w:rsid w:val="00A21707"/>
    <w:rsid w:val="00A24859"/>
    <w:rsid w:val="00A24FB2"/>
    <w:rsid w:val="00A2592F"/>
    <w:rsid w:val="00A26DF2"/>
    <w:rsid w:val="00A301CD"/>
    <w:rsid w:val="00A31DB8"/>
    <w:rsid w:val="00A33DC8"/>
    <w:rsid w:val="00A35884"/>
    <w:rsid w:val="00A369FB"/>
    <w:rsid w:val="00A42FDB"/>
    <w:rsid w:val="00A47930"/>
    <w:rsid w:val="00A53A21"/>
    <w:rsid w:val="00A54A53"/>
    <w:rsid w:val="00A565BE"/>
    <w:rsid w:val="00A56964"/>
    <w:rsid w:val="00A64C24"/>
    <w:rsid w:val="00A64E58"/>
    <w:rsid w:val="00A83E13"/>
    <w:rsid w:val="00A85613"/>
    <w:rsid w:val="00A86289"/>
    <w:rsid w:val="00A9325D"/>
    <w:rsid w:val="00A9594E"/>
    <w:rsid w:val="00AA1472"/>
    <w:rsid w:val="00AA279D"/>
    <w:rsid w:val="00AA5D1C"/>
    <w:rsid w:val="00AC13ED"/>
    <w:rsid w:val="00AC1900"/>
    <w:rsid w:val="00AC5C9F"/>
    <w:rsid w:val="00AC796F"/>
    <w:rsid w:val="00AD2B02"/>
    <w:rsid w:val="00AD5628"/>
    <w:rsid w:val="00AE3776"/>
    <w:rsid w:val="00AE3DC6"/>
    <w:rsid w:val="00AE4A56"/>
    <w:rsid w:val="00AE5D54"/>
    <w:rsid w:val="00AF08F7"/>
    <w:rsid w:val="00AF0AD6"/>
    <w:rsid w:val="00AF4F5C"/>
    <w:rsid w:val="00AF56A6"/>
    <w:rsid w:val="00AF7013"/>
    <w:rsid w:val="00AF79BC"/>
    <w:rsid w:val="00B023FE"/>
    <w:rsid w:val="00B02A4F"/>
    <w:rsid w:val="00B0539B"/>
    <w:rsid w:val="00B06589"/>
    <w:rsid w:val="00B10FF0"/>
    <w:rsid w:val="00B12BBD"/>
    <w:rsid w:val="00B2335F"/>
    <w:rsid w:val="00B27DC4"/>
    <w:rsid w:val="00B30AA1"/>
    <w:rsid w:val="00B344BF"/>
    <w:rsid w:val="00B43F4E"/>
    <w:rsid w:val="00B62093"/>
    <w:rsid w:val="00B633D6"/>
    <w:rsid w:val="00B637B2"/>
    <w:rsid w:val="00B67CC1"/>
    <w:rsid w:val="00B67EC5"/>
    <w:rsid w:val="00B72448"/>
    <w:rsid w:val="00B77B78"/>
    <w:rsid w:val="00B8063D"/>
    <w:rsid w:val="00B81EB5"/>
    <w:rsid w:val="00B8732B"/>
    <w:rsid w:val="00B90CB9"/>
    <w:rsid w:val="00B9638F"/>
    <w:rsid w:val="00BA1AE6"/>
    <w:rsid w:val="00BA5BB4"/>
    <w:rsid w:val="00BB2F63"/>
    <w:rsid w:val="00BB3903"/>
    <w:rsid w:val="00BC591F"/>
    <w:rsid w:val="00BC713D"/>
    <w:rsid w:val="00BD1059"/>
    <w:rsid w:val="00BD2851"/>
    <w:rsid w:val="00BE17F2"/>
    <w:rsid w:val="00BE504C"/>
    <w:rsid w:val="00BF19C6"/>
    <w:rsid w:val="00BF53B3"/>
    <w:rsid w:val="00BF5B47"/>
    <w:rsid w:val="00C011FD"/>
    <w:rsid w:val="00C03449"/>
    <w:rsid w:val="00C06B83"/>
    <w:rsid w:val="00C170EB"/>
    <w:rsid w:val="00C21A02"/>
    <w:rsid w:val="00C3215A"/>
    <w:rsid w:val="00C3519B"/>
    <w:rsid w:val="00C459C9"/>
    <w:rsid w:val="00C47053"/>
    <w:rsid w:val="00C47A69"/>
    <w:rsid w:val="00C57AB2"/>
    <w:rsid w:val="00C63C9B"/>
    <w:rsid w:val="00C653E5"/>
    <w:rsid w:val="00C67186"/>
    <w:rsid w:val="00C72375"/>
    <w:rsid w:val="00C72AE1"/>
    <w:rsid w:val="00C8176A"/>
    <w:rsid w:val="00C83FB0"/>
    <w:rsid w:val="00C84C80"/>
    <w:rsid w:val="00C85647"/>
    <w:rsid w:val="00C856A2"/>
    <w:rsid w:val="00C864AE"/>
    <w:rsid w:val="00C87F18"/>
    <w:rsid w:val="00C93620"/>
    <w:rsid w:val="00C97847"/>
    <w:rsid w:val="00CA2061"/>
    <w:rsid w:val="00CA65A7"/>
    <w:rsid w:val="00CA7021"/>
    <w:rsid w:val="00CB4D97"/>
    <w:rsid w:val="00CB4F96"/>
    <w:rsid w:val="00CC0499"/>
    <w:rsid w:val="00CC5559"/>
    <w:rsid w:val="00CD3764"/>
    <w:rsid w:val="00CE1624"/>
    <w:rsid w:val="00CE19C8"/>
    <w:rsid w:val="00CE3944"/>
    <w:rsid w:val="00CE4B1D"/>
    <w:rsid w:val="00CF044A"/>
    <w:rsid w:val="00CF22CD"/>
    <w:rsid w:val="00CF4BB6"/>
    <w:rsid w:val="00CF5FEC"/>
    <w:rsid w:val="00D00783"/>
    <w:rsid w:val="00D00D38"/>
    <w:rsid w:val="00D01D0F"/>
    <w:rsid w:val="00D10B02"/>
    <w:rsid w:val="00D12552"/>
    <w:rsid w:val="00D12D57"/>
    <w:rsid w:val="00D13742"/>
    <w:rsid w:val="00D21AD4"/>
    <w:rsid w:val="00D25183"/>
    <w:rsid w:val="00D261B9"/>
    <w:rsid w:val="00D26DE7"/>
    <w:rsid w:val="00D31094"/>
    <w:rsid w:val="00D4000C"/>
    <w:rsid w:val="00D410D3"/>
    <w:rsid w:val="00D431B7"/>
    <w:rsid w:val="00D431EC"/>
    <w:rsid w:val="00D43747"/>
    <w:rsid w:val="00D44ED3"/>
    <w:rsid w:val="00D53687"/>
    <w:rsid w:val="00D636DC"/>
    <w:rsid w:val="00D6482E"/>
    <w:rsid w:val="00D64A9A"/>
    <w:rsid w:val="00D654D1"/>
    <w:rsid w:val="00D70E0E"/>
    <w:rsid w:val="00D72C83"/>
    <w:rsid w:val="00D75EA1"/>
    <w:rsid w:val="00D80425"/>
    <w:rsid w:val="00D83727"/>
    <w:rsid w:val="00D85AE4"/>
    <w:rsid w:val="00D8684B"/>
    <w:rsid w:val="00D8720D"/>
    <w:rsid w:val="00D8745C"/>
    <w:rsid w:val="00D92C91"/>
    <w:rsid w:val="00D92D2C"/>
    <w:rsid w:val="00D93845"/>
    <w:rsid w:val="00D96F26"/>
    <w:rsid w:val="00DA1AA5"/>
    <w:rsid w:val="00DA2F3D"/>
    <w:rsid w:val="00DA31A0"/>
    <w:rsid w:val="00DB21E0"/>
    <w:rsid w:val="00DB2531"/>
    <w:rsid w:val="00DB2D5F"/>
    <w:rsid w:val="00DB48E8"/>
    <w:rsid w:val="00DB7796"/>
    <w:rsid w:val="00DC0344"/>
    <w:rsid w:val="00DC1012"/>
    <w:rsid w:val="00DC2132"/>
    <w:rsid w:val="00DC7C3E"/>
    <w:rsid w:val="00DD06C3"/>
    <w:rsid w:val="00DD0AA0"/>
    <w:rsid w:val="00DD23FA"/>
    <w:rsid w:val="00DD4D11"/>
    <w:rsid w:val="00DD577D"/>
    <w:rsid w:val="00DD7373"/>
    <w:rsid w:val="00DE00A6"/>
    <w:rsid w:val="00DF4FD8"/>
    <w:rsid w:val="00DF5631"/>
    <w:rsid w:val="00E07248"/>
    <w:rsid w:val="00E116FA"/>
    <w:rsid w:val="00E15290"/>
    <w:rsid w:val="00E178F5"/>
    <w:rsid w:val="00E17ECA"/>
    <w:rsid w:val="00E27F02"/>
    <w:rsid w:val="00E30A95"/>
    <w:rsid w:val="00E32A59"/>
    <w:rsid w:val="00E3304B"/>
    <w:rsid w:val="00E33B56"/>
    <w:rsid w:val="00E3467E"/>
    <w:rsid w:val="00E44676"/>
    <w:rsid w:val="00E451FA"/>
    <w:rsid w:val="00E46AC1"/>
    <w:rsid w:val="00E52732"/>
    <w:rsid w:val="00E56657"/>
    <w:rsid w:val="00E57E1A"/>
    <w:rsid w:val="00E62C26"/>
    <w:rsid w:val="00E62EB2"/>
    <w:rsid w:val="00E64305"/>
    <w:rsid w:val="00E74DCD"/>
    <w:rsid w:val="00E767CC"/>
    <w:rsid w:val="00E81868"/>
    <w:rsid w:val="00E84C50"/>
    <w:rsid w:val="00E97440"/>
    <w:rsid w:val="00E97705"/>
    <w:rsid w:val="00E97749"/>
    <w:rsid w:val="00EA38F3"/>
    <w:rsid w:val="00EB0A85"/>
    <w:rsid w:val="00EB545D"/>
    <w:rsid w:val="00EB5861"/>
    <w:rsid w:val="00EB68DB"/>
    <w:rsid w:val="00EB6CA7"/>
    <w:rsid w:val="00EC1BE5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26A84"/>
    <w:rsid w:val="00F27C93"/>
    <w:rsid w:val="00F319C3"/>
    <w:rsid w:val="00F37C73"/>
    <w:rsid w:val="00F4705B"/>
    <w:rsid w:val="00F4739A"/>
    <w:rsid w:val="00F50C4F"/>
    <w:rsid w:val="00F527DD"/>
    <w:rsid w:val="00F52A15"/>
    <w:rsid w:val="00F54152"/>
    <w:rsid w:val="00F60723"/>
    <w:rsid w:val="00F622E1"/>
    <w:rsid w:val="00F64336"/>
    <w:rsid w:val="00F64930"/>
    <w:rsid w:val="00F65E84"/>
    <w:rsid w:val="00F67D94"/>
    <w:rsid w:val="00F67F79"/>
    <w:rsid w:val="00F75E58"/>
    <w:rsid w:val="00F7758E"/>
    <w:rsid w:val="00F85BA0"/>
    <w:rsid w:val="00F860A1"/>
    <w:rsid w:val="00F8668D"/>
    <w:rsid w:val="00F95889"/>
    <w:rsid w:val="00F97A4E"/>
    <w:rsid w:val="00FA016F"/>
    <w:rsid w:val="00FA5ED0"/>
    <w:rsid w:val="00FA7045"/>
    <w:rsid w:val="00FB0426"/>
    <w:rsid w:val="00FB198C"/>
    <w:rsid w:val="00FB1BB6"/>
    <w:rsid w:val="00FB2714"/>
    <w:rsid w:val="00FB6041"/>
    <w:rsid w:val="00FC054B"/>
    <w:rsid w:val="00FC26E6"/>
    <w:rsid w:val="00FD18C4"/>
    <w:rsid w:val="00FD2B77"/>
    <w:rsid w:val="00FD2CED"/>
    <w:rsid w:val="00FD3A7D"/>
    <w:rsid w:val="00FD4D9F"/>
    <w:rsid w:val="00FD79C7"/>
    <w:rsid w:val="00FE0115"/>
    <w:rsid w:val="00FE18AB"/>
    <w:rsid w:val="00FE1F46"/>
    <w:rsid w:val="00FE2136"/>
    <w:rsid w:val="00FE3ACD"/>
    <w:rsid w:val="00FE6D5F"/>
    <w:rsid w:val="00FF1FD0"/>
    <w:rsid w:val="00FF2812"/>
    <w:rsid w:val="6FB9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479F2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5D1A0-D721-4D2D-9DF4-17F5C8B819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2021-10-01T17:34:00Z</dcterms:created>
  <dcterms:modified xsi:type="dcterms:W3CDTF">2021-10-01T17:34:00Z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