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7895" w14:textId="77777777" w:rsidR="00CC4DBB" w:rsidRPr="00AF19B9" w:rsidRDefault="009A268A" w:rsidP="00421E5E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  <w:b/>
          <w:bCs/>
          <w:color w:val="7030A0"/>
        </w:rPr>
        <w:t>PG&amp;E</w:t>
      </w:r>
      <w:r w:rsidR="000A69C2">
        <w:rPr>
          <w:rFonts w:ascii="Garamond" w:hAnsi="Garamond" w:cs="Calibri"/>
          <w:b/>
          <w:bCs/>
          <w:color w:val="7030A0"/>
        </w:rPr>
        <w:t xml:space="preserve"> </w:t>
      </w:r>
      <w:r w:rsidR="00421E5E" w:rsidRPr="00DE00A6">
        <w:rPr>
          <w:rFonts w:ascii="Garamond" w:hAnsi="Garamond" w:cs="Calibri"/>
          <w:b/>
          <w:bCs/>
          <w:color w:val="7030A0"/>
        </w:rPr>
        <w:t xml:space="preserve">Advice Letter </w:t>
      </w:r>
      <w:r w:rsidR="0061629D">
        <w:rPr>
          <w:rFonts w:ascii="Garamond" w:hAnsi="Garamond" w:cs="Calibri"/>
          <w:b/>
          <w:bCs/>
          <w:color w:val="7030A0"/>
        </w:rPr>
        <w:t xml:space="preserve">(AL) </w:t>
      </w:r>
      <w:r>
        <w:rPr>
          <w:rFonts w:ascii="Garamond" w:hAnsi="Garamond" w:cs="Calibri"/>
          <w:b/>
          <w:bCs/>
          <w:color w:val="7030A0"/>
        </w:rPr>
        <w:t>6265</w:t>
      </w:r>
      <w:r w:rsidR="00310A0A">
        <w:rPr>
          <w:rFonts w:ascii="Garamond" w:hAnsi="Garamond" w:cs="Calibri"/>
          <w:b/>
          <w:bCs/>
          <w:color w:val="7030A0"/>
        </w:rPr>
        <w:t xml:space="preserve">-E </w:t>
      </w:r>
      <w:r w:rsidR="00421E5E" w:rsidRPr="00DE00A6">
        <w:rPr>
          <w:rFonts w:ascii="Garamond" w:hAnsi="Garamond" w:cs="Calibri"/>
          <w:b/>
          <w:bCs/>
          <w:color w:val="7030A0"/>
        </w:rPr>
        <w:t xml:space="preserve">– </w:t>
      </w:r>
      <w:r w:rsidR="00F7758E">
        <w:rPr>
          <w:rFonts w:ascii="Garamond" w:hAnsi="Garamond" w:cs="Calibri"/>
        </w:rPr>
        <w:t xml:space="preserve">The </w:t>
      </w:r>
      <w:r w:rsidR="00BC713D" w:rsidRPr="00DE00A6">
        <w:rPr>
          <w:rFonts w:ascii="Garamond" w:hAnsi="Garamond" w:cs="Calibri"/>
        </w:rPr>
        <w:t xml:space="preserve">CPUC </w:t>
      </w:r>
      <w:r w:rsidR="000A3D60">
        <w:rPr>
          <w:rFonts w:ascii="Garamond" w:hAnsi="Garamond" w:cs="Calibri"/>
        </w:rPr>
        <w:t xml:space="preserve">has </w:t>
      </w:r>
      <w:r w:rsidR="00034BB5">
        <w:rPr>
          <w:rFonts w:ascii="Garamond" w:hAnsi="Garamond" w:cs="Calibri"/>
        </w:rPr>
        <w:t xml:space="preserve">previously </w:t>
      </w:r>
      <w:r w:rsidR="00310A0A">
        <w:rPr>
          <w:rFonts w:ascii="Garamond" w:hAnsi="Garamond" w:cs="Calibri"/>
        </w:rPr>
        <w:t>authorized</w:t>
      </w:r>
      <w:r w:rsidR="00834443">
        <w:rPr>
          <w:rFonts w:ascii="Garamond" w:hAnsi="Garamond" w:cs="Calibri"/>
        </w:rPr>
        <w:t xml:space="preserve"> </w:t>
      </w:r>
      <w:r w:rsidR="00310A0A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>PG&amp;E</w:t>
      </w:r>
      <w:r w:rsidR="00310A0A">
        <w:rPr>
          <w:rFonts w:ascii="Garamond" w:hAnsi="Garamond" w:cs="Calibri"/>
        </w:rPr>
        <w:t xml:space="preserve"> to </w:t>
      </w:r>
      <w:r w:rsidR="00884C62">
        <w:rPr>
          <w:rFonts w:ascii="Garamond" w:hAnsi="Garamond" w:cs="Calibri"/>
        </w:rPr>
        <w:t xml:space="preserve">annually recover </w:t>
      </w:r>
      <w:r w:rsidR="00310A0A">
        <w:rPr>
          <w:rFonts w:ascii="Garamond" w:hAnsi="Garamond" w:cs="Calibri"/>
        </w:rPr>
        <w:t xml:space="preserve">balances in its regulatory accounts. This advice letter </w:t>
      </w:r>
      <w:r w:rsidR="00D915F8">
        <w:rPr>
          <w:rFonts w:ascii="Garamond" w:hAnsi="Garamond" w:cs="Calibri"/>
        </w:rPr>
        <w:t xml:space="preserve">adjusts rates due to changed balances </w:t>
      </w:r>
      <w:r w:rsidR="00F47068">
        <w:rPr>
          <w:rFonts w:ascii="Garamond" w:hAnsi="Garamond" w:cs="Calibri"/>
        </w:rPr>
        <w:t>in</w:t>
      </w:r>
      <w:r w:rsidR="001A52CF">
        <w:rPr>
          <w:rFonts w:ascii="Garamond" w:hAnsi="Garamond" w:cs="Calibri"/>
        </w:rPr>
        <w:t xml:space="preserve"> balancing accounts related to </w:t>
      </w:r>
      <w:r w:rsidR="00DB4F02">
        <w:rPr>
          <w:rFonts w:ascii="Garamond" w:hAnsi="Garamond" w:cs="Calibri"/>
        </w:rPr>
        <w:t>costs for electric operations,</w:t>
      </w:r>
      <w:r w:rsidR="001A52CF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>vegetation management</w:t>
      </w:r>
      <w:r w:rsidR="00DB4F02">
        <w:rPr>
          <w:rFonts w:ascii="Garamond" w:hAnsi="Garamond" w:cs="Calibri"/>
        </w:rPr>
        <w:t xml:space="preserve">, wildfire mitigation of electric distribution systems, a refund to ratepayers </w:t>
      </w:r>
      <w:r w:rsidR="00DB4F02" w:rsidRPr="00AF19B9">
        <w:rPr>
          <w:rFonts w:ascii="Garamond" w:hAnsi="Garamond" w:cs="Calibri"/>
        </w:rPr>
        <w:t>stemming from the 2017 Tax Cuts and Jobs Act, wildfire liability insurance costs</w:t>
      </w:r>
      <w:r w:rsidR="00034BB5" w:rsidRPr="00AF19B9">
        <w:rPr>
          <w:rFonts w:ascii="Garamond" w:hAnsi="Garamond" w:cs="Calibri"/>
        </w:rPr>
        <w:t xml:space="preserve"> as authorized by PG&amp;E’s prior general rate case</w:t>
      </w:r>
      <w:r w:rsidR="00DB4F02" w:rsidRPr="00AF19B9">
        <w:rPr>
          <w:rFonts w:ascii="Garamond" w:hAnsi="Garamond" w:cs="Calibri"/>
        </w:rPr>
        <w:t>, transmission costs authorized by the Federal Energy Regulatory Commission</w:t>
      </w:r>
      <w:r w:rsidR="00075047">
        <w:rPr>
          <w:rFonts w:ascii="Garamond" w:hAnsi="Garamond" w:cs="Calibri"/>
        </w:rPr>
        <w:t xml:space="preserve"> (FERC)</w:t>
      </w:r>
      <w:r w:rsidR="00DB4F02" w:rsidRPr="00AF19B9">
        <w:rPr>
          <w:rFonts w:ascii="Garamond" w:hAnsi="Garamond" w:cs="Calibri"/>
        </w:rPr>
        <w:t>,</w:t>
      </w:r>
      <w:r w:rsidR="00034BB5" w:rsidRPr="00AF19B9">
        <w:rPr>
          <w:rFonts w:ascii="Garamond" w:hAnsi="Garamond" w:cs="Calibri"/>
        </w:rPr>
        <w:t xml:space="preserve"> and small adjustments for residential delivery minimums and error corrections</w:t>
      </w:r>
      <w:r w:rsidR="00CC4DBB" w:rsidRPr="00AF19B9">
        <w:rPr>
          <w:rFonts w:ascii="Garamond" w:hAnsi="Garamond" w:cs="Calibri"/>
        </w:rPr>
        <w:t>.</w:t>
      </w:r>
      <w:r w:rsidR="001761B5" w:rsidRPr="00AF19B9">
        <w:rPr>
          <w:rStyle w:val="FootnoteReference"/>
          <w:rFonts w:ascii="Garamond" w:hAnsi="Garamond" w:cs="Calibri"/>
        </w:rPr>
        <w:footnoteReference w:id="1"/>
      </w:r>
    </w:p>
    <w:p w14:paraId="2A6FD435" w14:textId="77777777" w:rsidR="005A3953" w:rsidRPr="00AF19B9" w:rsidRDefault="005A3953" w:rsidP="00421E5E">
      <w:pPr>
        <w:ind w:firstLine="0"/>
        <w:rPr>
          <w:rFonts w:ascii="Garamond" w:hAnsi="Garamond" w:cs="Calibri"/>
        </w:rPr>
      </w:pPr>
    </w:p>
    <w:p w14:paraId="1F2CB432" w14:textId="77777777" w:rsidR="00421E5E" w:rsidRPr="00AF19B9" w:rsidRDefault="00421E5E" w:rsidP="00421E5E">
      <w:pPr>
        <w:pBdr>
          <w:bottom w:val="dotted" w:sz="24" w:space="1" w:color="auto"/>
        </w:pBdr>
        <w:ind w:firstLine="0"/>
        <w:rPr>
          <w:rFonts w:ascii="Garamond" w:hAnsi="Garamond" w:cs="Calibri"/>
          <w:b/>
          <w:bCs/>
          <w:sz w:val="14"/>
          <w:szCs w:val="14"/>
        </w:rPr>
      </w:pPr>
    </w:p>
    <w:p w14:paraId="1109ABD2" w14:textId="77777777" w:rsidR="00421E5E" w:rsidRPr="00AF19B9" w:rsidRDefault="00421E5E" w:rsidP="00421E5E">
      <w:pPr>
        <w:pStyle w:val="ListParagraph"/>
        <w:ind w:left="360" w:firstLine="0"/>
        <w:rPr>
          <w:rFonts w:ascii="Garamond" w:hAnsi="Garamond" w:cs="Calibri"/>
          <w:sz w:val="14"/>
          <w:szCs w:val="14"/>
          <w:u w:val="single"/>
        </w:rPr>
      </w:pPr>
    </w:p>
    <w:p w14:paraId="3B115FF8" w14:textId="77777777" w:rsidR="002164F7" w:rsidRPr="00F46E03" w:rsidRDefault="00F46E03" w:rsidP="00AF0AD6">
      <w:pPr>
        <w:ind w:firstLine="0"/>
        <w:jc w:val="center"/>
        <w:rPr>
          <w:rFonts w:ascii="Garamond" w:hAnsi="Garamond" w:cs="Calibri"/>
          <w:b/>
          <w:bCs/>
          <w:u w:val="single"/>
        </w:rPr>
      </w:pPr>
      <w:r>
        <w:rPr>
          <w:rFonts w:ascii="Garamond" w:hAnsi="Garamond" w:cs="Calibri"/>
          <w:b/>
          <w:bCs/>
          <w:u w:val="single"/>
        </w:rPr>
        <w:t xml:space="preserve">PG&amp;E </w:t>
      </w:r>
      <w:r w:rsidR="00AC796F" w:rsidRPr="00F46E03">
        <w:rPr>
          <w:rFonts w:ascii="Garamond" w:hAnsi="Garamond" w:cs="Calibri"/>
          <w:b/>
          <w:bCs/>
          <w:u w:val="single"/>
        </w:rPr>
        <w:t xml:space="preserve">Estimated </w:t>
      </w:r>
      <w:r w:rsidR="002164F7" w:rsidRPr="00F46E03">
        <w:rPr>
          <w:rFonts w:ascii="Garamond" w:hAnsi="Garamond" w:cs="Calibri"/>
          <w:b/>
          <w:bCs/>
          <w:u w:val="single"/>
        </w:rPr>
        <w:t xml:space="preserve">Bill Impacts of All Requested Rate Changes Effective </w:t>
      </w:r>
      <w:r w:rsidR="00AF19B9" w:rsidRPr="00F46E03">
        <w:rPr>
          <w:rFonts w:ascii="Garamond" w:hAnsi="Garamond" w:cs="Calibri"/>
          <w:b/>
          <w:bCs/>
          <w:u w:val="single"/>
        </w:rPr>
        <w:t>August 1</w:t>
      </w:r>
      <w:r w:rsidR="002164F7" w:rsidRPr="00F46E03">
        <w:rPr>
          <w:rFonts w:ascii="Garamond" w:hAnsi="Garamond" w:cs="Calibri"/>
          <w:b/>
          <w:bCs/>
          <w:u w:val="single"/>
        </w:rPr>
        <w:t>, 202</w:t>
      </w:r>
      <w:r w:rsidR="00A46DC2" w:rsidRPr="00F46E03">
        <w:rPr>
          <w:rFonts w:ascii="Garamond" w:hAnsi="Garamond" w:cs="Calibri"/>
          <w:b/>
          <w:bCs/>
          <w:u w:val="single"/>
        </w:rPr>
        <w:t>1</w:t>
      </w:r>
      <w:r w:rsidR="002164F7" w:rsidRPr="00F46E03">
        <w:rPr>
          <w:rFonts w:ascii="Garamond" w:hAnsi="Garamond" w:cs="Calibri"/>
          <w:b/>
          <w:bCs/>
          <w:u w:val="single"/>
        </w:rPr>
        <w:t>:</w:t>
      </w:r>
    </w:p>
    <w:p w14:paraId="249B8E47" w14:textId="77777777" w:rsidR="002164F7" w:rsidRPr="00F46E03" w:rsidRDefault="002164F7" w:rsidP="002164F7">
      <w:pPr>
        <w:ind w:firstLine="0"/>
        <w:rPr>
          <w:rFonts w:ascii="Garamond" w:hAnsi="Garamond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F46E03" w14:paraId="3CD54A37" w14:textId="77777777" w:rsidTr="0048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7EAE03D2" w14:textId="77777777" w:rsidR="002164F7" w:rsidRPr="00F46E03" w:rsidRDefault="00CB4F96" w:rsidP="002164F7">
            <w:pPr>
              <w:ind w:firstLine="0"/>
              <w:jc w:val="center"/>
              <w:rPr>
                <w:rFonts w:ascii="Garamond" w:hAnsi="Garamond" w:cs="Calibri"/>
                <w:i/>
                <w:iCs/>
              </w:rPr>
            </w:pPr>
            <w:r w:rsidRPr="00F46E03">
              <w:rPr>
                <w:rFonts w:ascii="Garamond" w:hAnsi="Garamond" w:cs="Calibri"/>
              </w:rPr>
              <w:t xml:space="preserve">Estimated </w:t>
            </w:r>
            <w:r w:rsidR="002F5CA4">
              <w:rPr>
                <w:rFonts w:ascii="Garamond" w:hAnsi="Garamond" w:cs="Calibri"/>
              </w:rPr>
              <w:t xml:space="preserve">Monthly </w:t>
            </w:r>
            <w:r w:rsidR="002164F7" w:rsidRPr="00F46E03">
              <w:rPr>
                <w:rFonts w:ascii="Garamond" w:hAnsi="Garamond" w:cs="Calibri"/>
              </w:rPr>
              <w:t>Electric Bill Impacts</w:t>
            </w:r>
            <w:r w:rsidR="001761B5" w:rsidRPr="00F46E03">
              <w:rPr>
                <w:rStyle w:val="FootnoteReference"/>
                <w:rFonts w:ascii="Garamond" w:hAnsi="Garamond" w:cs="Calibri"/>
              </w:rPr>
              <w:footnoteReference w:id="2"/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74D57ACF" w14:textId="77777777" w:rsidR="002164F7" w:rsidRPr="00F46E03" w:rsidRDefault="00F46E03" w:rsidP="00F46E0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August 1, 2021</w:t>
            </w:r>
          </w:p>
        </w:tc>
      </w:tr>
      <w:tr w:rsidR="002164F7" w:rsidRPr="00F46E03" w14:paraId="3A54AED1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5D8CF2ED" w14:textId="77777777" w:rsidR="002164F7" w:rsidRPr="00F46E03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F46E03">
              <w:rPr>
                <w:rFonts w:ascii="Garamond" w:hAnsi="Garamond" w:cs="Calibri"/>
                <w:b w:val="0"/>
                <w:bCs w:val="0"/>
              </w:rPr>
              <w:t>Average Residential N</w:t>
            </w:r>
            <w:r w:rsidR="002164F7" w:rsidRPr="00F46E03">
              <w:rPr>
                <w:rFonts w:ascii="Garamond" w:hAnsi="Garamond" w:cs="Calibri"/>
                <w:b w:val="0"/>
                <w:bCs w:val="0"/>
              </w:rPr>
              <w:t>on-CARE electric bill</w:t>
            </w:r>
          </w:p>
        </w:tc>
        <w:tc>
          <w:tcPr>
            <w:tcW w:w="3944" w:type="dxa"/>
            <w:shd w:val="clear" w:color="auto" w:fill="00B0F0"/>
          </w:tcPr>
          <w:p w14:paraId="03504ADD" w14:textId="77777777" w:rsidR="002164F7" w:rsidRPr="00F46E03" w:rsidRDefault="002A41E4" w:rsidP="00F46E0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F46E03">
              <w:rPr>
                <w:rFonts w:ascii="Garamond" w:hAnsi="Garamond" w:cs="Calibri"/>
              </w:rPr>
              <w:t>$</w:t>
            </w:r>
            <w:r w:rsidR="00F46E03">
              <w:rPr>
                <w:rFonts w:ascii="Garamond" w:hAnsi="Garamond" w:cs="Calibri"/>
              </w:rPr>
              <w:t>139.68</w:t>
            </w:r>
          </w:p>
        </w:tc>
      </w:tr>
      <w:tr w:rsidR="002164F7" w:rsidRPr="00F46E03" w14:paraId="1DC3E153" w14:textId="77777777" w:rsidTr="004876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5DC35A0C" w14:textId="77777777" w:rsidR="002164F7" w:rsidRPr="00F46E03" w:rsidRDefault="00154274" w:rsidP="00F46E03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F46E03">
              <w:rPr>
                <w:rFonts w:ascii="Garamond" w:hAnsi="Garamond" w:cs="Calibri"/>
                <w:b w:val="0"/>
                <w:bCs w:val="0"/>
              </w:rPr>
              <w:t>Average Residential N</w:t>
            </w:r>
            <w:r w:rsidR="002164F7" w:rsidRPr="00F46E03">
              <w:rPr>
                <w:rFonts w:ascii="Garamond" w:hAnsi="Garamond" w:cs="Calibri"/>
                <w:b w:val="0"/>
                <w:bCs w:val="0"/>
              </w:rPr>
              <w:t xml:space="preserve">on-CARE electric bill </w:t>
            </w:r>
            <w:r w:rsidR="00F46E03">
              <w:rPr>
                <w:rFonts w:ascii="Garamond" w:hAnsi="Garamond" w:cs="Calibri"/>
                <w:b w:val="0"/>
                <w:bCs w:val="0"/>
              </w:rPr>
              <w:t>in</w:t>
            </w:r>
            <w:r w:rsidR="00F46AF3" w:rsidRPr="00F46E03">
              <w:rPr>
                <w:rFonts w:ascii="Garamond" w:hAnsi="Garamond" w:cs="Calibri"/>
                <w:b w:val="0"/>
                <w:bCs w:val="0"/>
              </w:rPr>
              <w:t>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2A627233" w14:textId="77777777" w:rsidR="002164F7" w:rsidRPr="00F46E03" w:rsidRDefault="002A41E4" w:rsidP="00F46E0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F46E03">
              <w:rPr>
                <w:rFonts w:ascii="Garamond" w:hAnsi="Garamond" w:cs="Calibri"/>
              </w:rPr>
              <w:t>$</w:t>
            </w:r>
            <w:r w:rsidR="00F46E03">
              <w:rPr>
                <w:rFonts w:ascii="Garamond" w:hAnsi="Garamond" w:cs="Calibri"/>
              </w:rPr>
              <w:t>0.82</w:t>
            </w:r>
            <w:r w:rsidR="00F46AF3" w:rsidRPr="00F46E03">
              <w:rPr>
                <w:rFonts w:ascii="Garamond" w:hAnsi="Garamond" w:cs="Calibri"/>
              </w:rPr>
              <w:t xml:space="preserve"> </w:t>
            </w:r>
            <w:r w:rsidR="002164F7" w:rsidRPr="00F46E03">
              <w:rPr>
                <w:rFonts w:ascii="Garamond" w:hAnsi="Garamond" w:cs="Calibri"/>
              </w:rPr>
              <w:t xml:space="preserve">or </w:t>
            </w:r>
            <w:r w:rsidR="00F46E03">
              <w:rPr>
                <w:rFonts w:ascii="Garamond" w:hAnsi="Garamond" w:cs="Calibri"/>
              </w:rPr>
              <w:t>0.6</w:t>
            </w:r>
            <w:r w:rsidR="00154274" w:rsidRPr="00F46E03">
              <w:rPr>
                <w:rFonts w:ascii="Garamond" w:hAnsi="Garamond" w:cs="Calibri"/>
              </w:rPr>
              <w:t>%</w:t>
            </w:r>
          </w:p>
        </w:tc>
      </w:tr>
      <w:tr w:rsidR="002164F7" w:rsidRPr="00F46E03" w14:paraId="2FFEC274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7EA7FBF9" w14:textId="77777777" w:rsidR="002164F7" w:rsidRPr="00F46E03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F46E03">
              <w:rPr>
                <w:rFonts w:ascii="Garamond" w:hAnsi="Garamond" w:cs="Calibri"/>
                <w:b w:val="0"/>
                <w:bCs w:val="0"/>
              </w:rPr>
              <w:t xml:space="preserve">Average </w:t>
            </w:r>
            <w:r w:rsidR="002164F7" w:rsidRPr="00F46E03">
              <w:rPr>
                <w:rFonts w:ascii="Garamond" w:hAnsi="Garamond" w:cs="Calibri"/>
                <w:b w:val="0"/>
                <w:bCs w:val="0"/>
              </w:rPr>
              <w:t>Residential CARE electric bill</w:t>
            </w:r>
          </w:p>
        </w:tc>
        <w:tc>
          <w:tcPr>
            <w:tcW w:w="3944" w:type="dxa"/>
            <w:shd w:val="clear" w:color="auto" w:fill="00B0F0"/>
          </w:tcPr>
          <w:p w14:paraId="0D7A82F6" w14:textId="77777777" w:rsidR="002164F7" w:rsidRPr="00F46E03" w:rsidRDefault="002164F7" w:rsidP="00F46E0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F46E03">
              <w:rPr>
                <w:rFonts w:ascii="Garamond" w:hAnsi="Garamond" w:cs="Calibri"/>
              </w:rPr>
              <w:t>$</w:t>
            </w:r>
            <w:r w:rsidR="00F46E03">
              <w:rPr>
                <w:rFonts w:ascii="Garamond" w:hAnsi="Garamond" w:cs="Calibri"/>
              </w:rPr>
              <w:t>89.86</w:t>
            </w:r>
          </w:p>
        </w:tc>
      </w:tr>
      <w:tr w:rsidR="002164F7" w:rsidRPr="00F46E03" w14:paraId="3344DB1C" w14:textId="77777777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5B76A0A0" w14:textId="77777777" w:rsidR="002164F7" w:rsidRPr="00F46E03" w:rsidRDefault="00D12D57" w:rsidP="00F46E03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F46E03">
              <w:rPr>
                <w:rFonts w:ascii="Garamond" w:hAnsi="Garamond" w:cs="Calibri"/>
                <w:b w:val="0"/>
                <w:bCs w:val="0"/>
              </w:rPr>
              <w:t xml:space="preserve">Average </w:t>
            </w:r>
            <w:r w:rsidR="002164F7" w:rsidRPr="00F46E03">
              <w:rPr>
                <w:rFonts w:ascii="Garamond" w:hAnsi="Garamond" w:cs="Calibri"/>
                <w:b w:val="0"/>
                <w:bCs w:val="0"/>
              </w:rPr>
              <w:t xml:space="preserve">Residential CARE electric bill </w:t>
            </w:r>
            <w:r w:rsidR="00F46E03">
              <w:rPr>
                <w:rFonts w:ascii="Garamond" w:hAnsi="Garamond" w:cs="Calibri"/>
                <w:b w:val="0"/>
                <w:bCs w:val="0"/>
              </w:rPr>
              <w:t>in</w:t>
            </w:r>
            <w:r w:rsidR="00F46AF3" w:rsidRPr="00F46E03">
              <w:rPr>
                <w:rFonts w:ascii="Garamond" w:hAnsi="Garamond" w:cs="Calibri"/>
                <w:b w:val="0"/>
                <w:bCs w:val="0"/>
              </w:rPr>
              <w:t>crease</w:t>
            </w:r>
          </w:p>
        </w:tc>
        <w:tc>
          <w:tcPr>
            <w:tcW w:w="3944" w:type="dxa"/>
          </w:tcPr>
          <w:p w14:paraId="70FCF4B6" w14:textId="77777777" w:rsidR="002164F7" w:rsidRPr="00F46E03" w:rsidRDefault="002164F7" w:rsidP="00F46E0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F46E03">
              <w:rPr>
                <w:rFonts w:ascii="Garamond" w:hAnsi="Garamond" w:cs="Calibri"/>
              </w:rPr>
              <w:t>$</w:t>
            </w:r>
            <w:r w:rsidR="00767D5C" w:rsidRPr="00F46E03">
              <w:rPr>
                <w:rFonts w:ascii="Garamond" w:hAnsi="Garamond" w:cs="Calibri"/>
              </w:rPr>
              <w:t>0</w:t>
            </w:r>
            <w:r w:rsidR="000A69C2" w:rsidRPr="00F46E03">
              <w:rPr>
                <w:rFonts w:ascii="Garamond" w:hAnsi="Garamond" w:cs="Calibri"/>
              </w:rPr>
              <w:t>.</w:t>
            </w:r>
            <w:r w:rsidR="00F46E03">
              <w:rPr>
                <w:rFonts w:ascii="Garamond" w:hAnsi="Garamond" w:cs="Calibri"/>
              </w:rPr>
              <w:t>53</w:t>
            </w:r>
            <w:r w:rsidRPr="00F46E03">
              <w:rPr>
                <w:rFonts w:ascii="Garamond" w:hAnsi="Garamond" w:cs="Calibri"/>
              </w:rPr>
              <w:t xml:space="preserve"> or </w:t>
            </w:r>
            <w:r w:rsidR="00F46E03">
              <w:rPr>
                <w:rFonts w:ascii="Garamond" w:hAnsi="Garamond" w:cs="Calibri"/>
              </w:rPr>
              <w:t>0.6</w:t>
            </w:r>
            <w:r w:rsidRPr="00F46E03">
              <w:rPr>
                <w:rFonts w:ascii="Garamond" w:hAnsi="Garamond" w:cs="Calibri"/>
              </w:rPr>
              <w:t>%</w:t>
            </w:r>
          </w:p>
        </w:tc>
      </w:tr>
    </w:tbl>
    <w:p w14:paraId="739697B6" w14:textId="77777777" w:rsidR="002164F7" w:rsidRPr="00F46E03" w:rsidRDefault="002164F7" w:rsidP="002164F7">
      <w:pPr>
        <w:pStyle w:val="ListParagraph"/>
        <w:ind w:left="0" w:firstLine="0"/>
        <w:rPr>
          <w:rFonts w:ascii="Garamond" w:hAnsi="Garamond" w:cs="Calibri"/>
          <w:sz w:val="26"/>
          <w:szCs w:val="26"/>
        </w:rPr>
      </w:pPr>
    </w:p>
    <w:p w14:paraId="73471973" w14:textId="77777777" w:rsidR="002164F7" w:rsidRPr="00F46E03" w:rsidRDefault="002164F7" w:rsidP="002164F7">
      <w:pPr>
        <w:ind w:firstLine="0"/>
        <w:rPr>
          <w:rFonts w:ascii="Garamond" w:hAnsi="Garamond" w:cs="Calibri"/>
          <w:u w:val="single"/>
        </w:rPr>
      </w:pPr>
    </w:p>
    <w:p w14:paraId="09A84632" w14:textId="77777777" w:rsidR="00421E5E" w:rsidRPr="002F5CA4" w:rsidRDefault="00AF19B9" w:rsidP="00DE6981">
      <w:pPr>
        <w:pStyle w:val="ListParagraph"/>
        <w:ind w:left="360" w:firstLine="0"/>
        <w:rPr>
          <w:rFonts w:ascii="Garamond" w:hAnsi="Garamond" w:cs="Calibri"/>
          <w:b/>
          <w:bCs/>
        </w:rPr>
      </w:pPr>
      <w:r w:rsidRPr="002F5CA4">
        <w:rPr>
          <w:rFonts w:ascii="Garamond" w:hAnsi="Garamond" w:cs="Calibri"/>
          <w:b/>
          <w:bCs/>
        </w:rPr>
        <w:t>PG&amp;E</w:t>
      </w:r>
      <w:r w:rsidR="001A52CF" w:rsidRPr="002F5CA4">
        <w:rPr>
          <w:rFonts w:ascii="Garamond" w:hAnsi="Garamond" w:cs="Calibri"/>
          <w:b/>
          <w:bCs/>
        </w:rPr>
        <w:t xml:space="preserve"> </w:t>
      </w:r>
      <w:r w:rsidR="00075047" w:rsidRPr="002F5CA4">
        <w:rPr>
          <w:rFonts w:ascii="Garamond" w:hAnsi="Garamond" w:cs="Calibri"/>
          <w:b/>
          <w:bCs/>
        </w:rPr>
        <w:t xml:space="preserve">CPUC-jurisdictional revenue requirement </w:t>
      </w:r>
      <w:r w:rsidR="001A52CF" w:rsidRPr="002F5CA4">
        <w:rPr>
          <w:rFonts w:ascii="Garamond" w:hAnsi="Garamond" w:cs="Calibri"/>
          <w:b/>
          <w:bCs/>
        </w:rPr>
        <w:t>will change based on the following:</w:t>
      </w:r>
    </w:p>
    <w:p w14:paraId="1799918E" w14:textId="77777777" w:rsidR="00664C8E" w:rsidRPr="002F5CA4" w:rsidRDefault="00664C8E" w:rsidP="00664C8E">
      <w:pPr>
        <w:pStyle w:val="ListParagraph"/>
        <w:spacing w:before="120"/>
        <w:ind w:left="1080" w:firstLine="0"/>
        <w:rPr>
          <w:rFonts w:ascii="Garamond" w:hAnsi="Garamond" w:cs="Calibri"/>
          <w:sz w:val="14"/>
          <w:szCs w:val="14"/>
        </w:rPr>
      </w:pPr>
    </w:p>
    <w:p w14:paraId="7971C08F" w14:textId="77777777" w:rsidR="00075047" w:rsidRPr="002F5CA4" w:rsidRDefault="00075047" w:rsidP="00332FF5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 w:rsidRPr="002F5CA4">
        <w:rPr>
          <w:rFonts w:ascii="Garamond" w:hAnsi="Garamond" w:cs="Calibri"/>
        </w:rPr>
        <w:t>$113.9 million increase due to vegetation management and wildfire mitigation related to distribution, in compliance with the Test Year 2020 PG&amp;E general rate case (D.20-12-005)</w:t>
      </w:r>
    </w:p>
    <w:p w14:paraId="1BF53533" w14:textId="77777777" w:rsidR="00075047" w:rsidRPr="002F5CA4" w:rsidRDefault="00075047" w:rsidP="00332FF5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 w:rsidRPr="002F5CA4">
        <w:rPr>
          <w:rFonts w:ascii="Garamond" w:hAnsi="Garamond" w:cs="Calibri"/>
        </w:rPr>
        <w:t xml:space="preserve">$50.60 million </w:t>
      </w:r>
      <w:r w:rsidRPr="00750574">
        <w:rPr>
          <w:rFonts w:ascii="Garamond" w:hAnsi="Garamond" w:cs="Calibri"/>
          <w:b/>
          <w:u w:val="single"/>
        </w:rPr>
        <w:t>decrease (</w:t>
      </w:r>
      <w:r w:rsidRPr="002F5CA4">
        <w:rPr>
          <w:rFonts w:ascii="Garamond" w:hAnsi="Garamond" w:cs="Calibri"/>
        </w:rPr>
        <w:t>i.e., refund to ratepayers) related to the 2017 Tax Cuts and Jobs Act, in compliance with D.20-12-005</w:t>
      </w:r>
    </w:p>
    <w:p w14:paraId="290693C3" w14:textId="77777777" w:rsidR="00075047" w:rsidRPr="002F5CA4" w:rsidRDefault="00075047" w:rsidP="00332FF5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 w:rsidRPr="002F5CA4">
        <w:rPr>
          <w:rFonts w:ascii="Garamond" w:hAnsi="Garamond" w:cs="Calibri"/>
        </w:rPr>
        <w:t>$4.43 million increase related to wildfire liability insurance costs in compliance with the Test Year 2020 PG&amp;E general rate case (D.20-12-005)</w:t>
      </w:r>
    </w:p>
    <w:p w14:paraId="7C5F5616" w14:textId="77777777" w:rsidR="00075047" w:rsidRPr="002F5CA4" w:rsidRDefault="00075047" w:rsidP="00075047">
      <w:pPr>
        <w:spacing w:before="120"/>
        <w:ind w:left="360" w:firstLine="0"/>
        <w:rPr>
          <w:rFonts w:ascii="Garamond" w:hAnsi="Garamond" w:cs="Calibri"/>
          <w:b/>
        </w:rPr>
      </w:pPr>
      <w:r w:rsidRPr="002F5CA4">
        <w:rPr>
          <w:rFonts w:ascii="Garamond" w:hAnsi="Garamond" w:cs="Calibri"/>
          <w:b/>
        </w:rPr>
        <w:t xml:space="preserve">PG&amp;E FERC-jurisdictional rate changes are based on a July 9, </w:t>
      </w:r>
      <w:proofErr w:type="gramStart"/>
      <w:r w:rsidRPr="002F5CA4">
        <w:rPr>
          <w:rFonts w:ascii="Garamond" w:hAnsi="Garamond" w:cs="Calibri"/>
          <w:b/>
        </w:rPr>
        <w:t>2021</w:t>
      </w:r>
      <w:proofErr w:type="gramEnd"/>
      <w:r w:rsidRPr="002F5CA4">
        <w:rPr>
          <w:rFonts w:ascii="Garamond" w:hAnsi="Garamond" w:cs="Calibri"/>
          <w:b/>
        </w:rPr>
        <w:t xml:space="preserve"> FERC Order granting PG&amp;E's motion to implement interim rates related to transmission, in FERC docket ER21-148-000, which has the following rate and bill impacts:</w:t>
      </w:r>
    </w:p>
    <w:p w14:paraId="7076774F" w14:textId="77777777" w:rsidR="00075047" w:rsidRPr="002F5CA4" w:rsidRDefault="00075047" w:rsidP="00075047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 w:rsidRPr="002F5CA4">
        <w:rPr>
          <w:rFonts w:ascii="Garamond" w:hAnsi="Garamond" w:cs="Calibri"/>
        </w:rPr>
        <w:t>Residential CARE: $0.03234/kWh</w:t>
      </w:r>
      <w:r w:rsidR="002F5CA4" w:rsidRPr="002F5CA4">
        <w:rPr>
          <w:rFonts w:ascii="Garamond" w:hAnsi="Garamond" w:cs="Calibri"/>
        </w:rPr>
        <w:t xml:space="preserve"> rate impact, </w:t>
      </w:r>
      <w:r w:rsidR="002F5CA4">
        <w:rPr>
          <w:rFonts w:ascii="Garamond" w:hAnsi="Garamond" w:cs="Calibri"/>
        </w:rPr>
        <w:t xml:space="preserve">equating to a </w:t>
      </w:r>
      <w:r w:rsidR="002F5CA4" w:rsidRPr="002F5CA4">
        <w:rPr>
          <w:rFonts w:ascii="Garamond" w:hAnsi="Garamond" w:cs="Calibri"/>
        </w:rPr>
        <w:t>$0.16 bill impact</w:t>
      </w:r>
    </w:p>
    <w:p w14:paraId="0BCC1281" w14:textId="77777777" w:rsidR="00075047" w:rsidRPr="002F5CA4" w:rsidRDefault="00075047" w:rsidP="00075047">
      <w:pPr>
        <w:pStyle w:val="ListParagraph"/>
        <w:numPr>
          <w:ilvl w:val="0"/>
          <w:numId w:val="3"/>
        </w:numPr>
        <w:spacing w:before="120"/>
        <w:rPr>
          <w:rFonts w:ascii="Garamond" w:hAnsi="Garamond" w:cs="Calibri"/>
        </w:rPr>
      </w:pPr>
      <w:r w:rsidRPr="002F5CA4">
        <w:rPr>
          <w:rFonts w:ascii="Garamond" w:hAnsi="Garamond" w:cs="Calibri"/>
        </w:rPr>
        <w:t>Residential non-CARE:  $0.05101</w:t>
      </w:r>
      <w:r w:rsidR="002F5CA4" w:rsidRPr="002F5CA4">
        <w:rPr>
          <w:rFonts w:ascii="Garamond" w:hAnsi="Garamond" w:cs="Calibri"/>
        </w:rPr>
        <w:t xml:space="preserve">/kWh rate impact, </w:t>
      </w:r>
      <w:r w:rsidR="002F5CA4">
        <w:rPr>
          <w:rFonts w:ascii="Garamond" w:hAnsi="Garamond" w:cs="Calibri"/>
        </w:rPr>
        <w:t xml:space="preserve">equating to a </w:t>
      </w:r>
      <w:r w:rsidR="002F5CA4" w:rsidRPr="002F5CA4">
        <w:rPr>
          <w:rFonts w:ascii="Garamond" w:hAnsi="Garamond" w:cs="Calibri"/>
        </w:rPr>
        <w:t>$0.25 bill impact</w:t>
      </w:r>
    </w:p>
    <w:p w14:paraId="2EEE9BA2" w14:textId="77777777" w:rsidR="00332FF5" w:rsidRPr="00310A0A" w:rsidRDefault="00332FF5" w:rsidP="00367076">
      <w:pPr>
        <w:pStyle w:val="ListParagraph"/>
        <w:spacing w:before="120"/>
        <w:ind w:left="1800" w:firstLine="0"/>
        <w:rPr>
          <w:rFonts w:ascii="Garamond" w:hAnsi="Garamond" w:cs="Calibri"/>
        </w:rPr>
      </w:pPr>
    </w:p>
    <w:sectPr w:rsidR="00332FF5" w:rsidRPr="00310A0A" w:rsidSect="005179C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7BA8" w14:textId="77777777" w:rsidR="00367E21" w:rsidRDefault="00367E21">
      <w:r>
        <w:separator/>
      </w:r>
    </w:p>
    <w:p w14:paraId="02DA84F2" w14:textId="77777777" w:rsidR="00367E21" w:rsidRDefault="00367E21"/>
  </w:endnote>
  <w:endnote w:type="continuationSeparator" w:id="0">
    <w:p w14:paraId="4E97E15D" w14:textId="77777777" w:rsidR="00367E21" w:rsidRDefault="00367E21">
      <w:r>
        <w:continuationSeparator/>
      </w:r>
    </w:p>
    <w:p w14:paraId="33AD838E" w14:textId="77777777" w:rsidR="00367E21" w:rsidRDefault="00367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F19BDA" w14:textId="77777777" w:rsidR="00A42FDB" w:rsidRDefault="00367E21" w:rsidP="00AA5D1C">
        <w:pPr>
          <w:pStyle w:val="Footer"/>
          <w:rPr>
            <w:rStyle w:val="PageNumber"/>
          </w:rPr>
        </w:pPr>
      </w:p>
    </w:sdtContent>
  </w:sdt>
  <w:p w14:paraId="33F4DB87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20A01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="008C068D">
          <w:rPr>
            <w:rFonts w:ascii="Garamond" w:hAnsi="Garamond"/>
            <w:noProof/>
          </w:rPr>
          <w:t>2</w:t>
        </w:r>
      </w:p>
    </w:sdtContent>
  </w:sdt>
  <w:p w14:paraId="18D6BC0E" w14:textId="77777777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25A29349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="00552B0C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</w:rPr>
          <w:t xml:space="preserve"> </w:t>
        </w:r>
      </w:p>
    </w:sdtContent>
  </w:sdt>
  <w:p w14:paraId="68F92465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AB8E" w14:textId="77777777" w:rsidR="00367E21" w:rsidRDefault="00367E21">
      <w:r>
        <w:separator/>
      </w:r>
    </w:p>
    <w:p w14:paraId="13AB6E95" w14:textId="77777777" w:rsidR="00367E21" w:rsidRDefault="00367E21"/>
  </w:footnote>
  <w:footnote w:type="continuationSeparator" w:id="0">
    <w:p w14:paraId="419F47FA" w14:textId="77777777" w:rsidR="00367E21" w:rsidRDefault="00367E21">
      <w:r>
        <w:continuationSeparator/>
      </w:r>
    </w:p>
    <w:p w14:paraId="16990C87" w14:textId="77777777" w:rsidR="00367E21" w:rsidRDefault="00367E21"/>
  </w:footnote>
  <w:footnote w:id="1">
    <w:p w14:paraId="0D04C242" w14:textId="77777777" w:rsidR="001761B5" w:rsidRPr="00034BB5" w:rsidRDefault="001761B5" w:rsidP="001761B5">
      <w:pPr>
        <w:pStyle w:val="FootnoteText"/>
        <w:ind w:firstLine="0"/>
        <w:rPr>
          <w:rFonts w:ascii="Garamond" w:hAnsi="Garamond"/>
          <w:sz w:val="21"/>
          <w:szCs w:val="21"/>
          <w:highlight w:val="yellow"/>
        </w:rPr>
      </w:pPr>
      <w:r w:rsidRPr="00A03171">
        <w:rPr>
          <w:rStyle w:val="FootnoteReference"/>
          <w:rFonts w:ascii="Garamond" w:hAnsi="Garamond"/>
          <w:b/>
          <w:bCs/>
          <w:sz w:val="21"/>
          <w:szCs w:val="21"/>
        </w:rPr>
        <w:footnoteRef/>
      </w:r>
      <w:r w:rsidRPr="001761B5">
        <w:rPr>
          <w:rFonts w:ascii="Garamond" w:hAnsi="Garamond"/>
          <w:sz w:val="21"/>
          <w:szCs w:val="21"/>
        </w:rPr>
        <w:t xml:space="preserve"> </w:t>
      </w:r>
      <w:r w:rsidR="00075047">
        <w:rPr>
          <w:rFonts w:ascii="Garamond" w:hAnsi="Garamond"/>
          <w:sz w:val="21"/>
          <w:szCs w:val="21"/>
        </w:rPr>
        <w:t>The small adjustments relate to</w:t>
      </w:r>
      <w:r w:rsidR="00034BB5">
        <w:rPr>
          <w:rFonts w:ascii="Garamond" w:hAnsi="Garamond"/>
          <w:sz w:val="21"/>
          <w:szCs w:val="21"/>
        </w:rPr>
        <w:t xml:space="preserve"> D.18-08-013/D.19-05-010</w:t>
      </w:r>
      <w:r w:rsidR="00075047">
        <w:rPr>
          <w:rFonts w:ascii="Garamond" w:hAnsi="Garamond"/>
          <w:sz w:val="21"/>
          <w:szCs w:val="21"/>
        </w:rPr>
        <w:t xml:space="preserve"> regarding</w:t>
      </w:r>
      <w:r w:rsidR="00034BB5">
        <w:rPr>
          <w:rFonts w:ascii="Garamond" w:hAnsi="Garamond"/>
          <w:sz w:val="21"/>
          <w:szCs w:val="21"/>
        </w:rPr>
        <w:t xml:space="preserve"> revised time of use rate differentials in which PG&amp;E is correcting a miscalculated rate for</w:t>
      </w:r>
      <w:r w:rsidR="005F1CF7">
        <w:rPr>
          <w:rFonts w:ascii="Garamond" w:hAnsi="Garamond"/>
          <w:sz w:val="21"/>
          <w:szCs w:val="21"/>
        </w:rPr>
        <w:t xml:space="preserve"> only</w:t>
      </w:r>
      <w:r w:rsidR="00034BB5">
        <w:rPr>
          <w:rFonts w:ascii="Garamond" w:hAnsi="Garamond"/>
          <w:sz w:val="21"/>
          <w:szCs w:val="21"/>
        </w:rPr>
        <w:t xml:space="preserve"> a subset of customers and is setting the rates at the correct level going forward, starting on August 1, 2021.</w:t>
      </w:r>
    </w:p>
  </w:footnote>
  <w:footnote w:id="2">
    <w:p w14:paraId="0A9D2443" w14:textId="77777777" w:rsidR="001761B5" w:rsidRPr="00034BB5" w:rsidRDefault="001761B5" w:rsidP="001761B5">
      <w:pPr>
        <w:pStyle w:val="FootnoteText"/>
        <w:ind w:firstLine="0"/>
        <w:rPr>
          <w:rFonts w:ascii="Garamond" w:hAnsi="Garamond"/>
          <w:sz w:val="21"/>
          <w:szCs w:val="21"/>
          <w:highlight w:val="yellow"/>
        </w:rPr>
      </w:pPr>
      <w:r w:rsidRPr="00F562E5">
        <w:rPr>
          <w:rStyle w:val="FootnoteReference"/>
          <w:rFonts w:ascii="Garamond" w:hAnsi="Garamond"/>
          <w:b/>
          <w:bCs/>
          <w:sz w:val="21"/>
          <w:szCs w:val="21"/>
        </w:rPr>
        <w:footnoteRef/>
      </w:r>
      <w:r w:rsidRPr="00F562E5">
        <w:rPr>
          <w:rFonts w:ascii="Garamond" w:hAnsi="Garamond"/>
          <w:sz w:val="21"/>
          <w:szCs w:val="21"/>
        </w:rPr>
        <w:t xml:space="preserve"> Based on a “typical” residential customer using</w:t>
      </w:r>
      <w:r w:rsidR="002F5CA4">
        <w:rPr>
          <w:rFonts w:ascii="Garamond" w:hAnsi="Garamond"/>
          <w:sz w:val="21"/>
          <w:szCs w:val="21"/>
        </w:rPr>
        <w:t xml:space="preserve"> </w:t>
      </w:r>
      <w:r w:rsidR="00AF19B9" w:rsidRPr="00F562E5">
        <w:rPr>
          <w:rFonts w:ascii="Garamond" w:hAnsi="Garamond"/>
          <w:sz w:val="21"/>
          <w:szCs w:val="21"/>
        </w:rPr>
        <w:t>500</w:t>
      </w:r>
      <w:r w:rsidRPr="00F562E5">
        <w:rPr>
          <w:rFonts w:ascii="Garamond" w:hAnsi="Garamond"/>
          <w:sz w:val="21"/>
          <w:szCs w:val="21"/>
        </w:rPr>
        <w:t xml:space="preserve"> kilowatt-hours per month.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591711F3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0D4626AD" w14:textId="77777777"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BC713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April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14:paraId="57467CA2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46283F1F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110A7429" w14:textId="77777777"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55DCDF51" wp14:editId="157013F9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1874F0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553031D0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71CAFFFA" w14:textId="77777777" w:rsidR="00A42FDB" w:rsidRPr="002C361D" w:rsidRDefault="00A42FDB" w:rsidP="009A268A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9A268A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August</w:t>
          </w:r>
          <w:r w:rsidR="00834443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202</w:t>
          </w:r>
          <w:r w:rsidR="00AA256A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1</w:t>
          </w:r>
        </w:p>
      </w:tc>
      <w:tc>
        <w:tcPr>
          <w:tcW w:w="6151" w:type="dxa"/>
          <w:shd w:val="clear" w:color="auto" w:fill="002060"/>
          <w:vAlign w:val="center"/>
        </w:tcPr>
        <w:p w14:paraId="13CB1C93" w14:textId="77777777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7213F111" w14:textId="77777777"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021405D3" w14:textId="77777777"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07BB005E" wp14:editId="2C09BF83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4F3E151" w14:textId="77777777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735AE"/>
    <w:multiLevelType w:val="hybridMultilevel"/>
    <w:tmpl w:val="00DAE9A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7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5"/>
    <w:rsid w:val="00004E2F"/>
    <w:rsid w:val="000069E1"/>
    <w:rsid w:val="0001124C"/>
    <w:rsid w:val="000115F0"/>
    <w:rsid w:val="00017089"/>
    <w:rsid w:val="00020B4A"/>
    <w:rsid w:val="00023054"/>
    <w:rsid w:val="00024CF2"/>
    <w:rsid w:val="00025EEC"/>
    <w:rsid w:val="00026B38"/>
    <w:rsid w:val="00027796"/>
    <w:rsid w:val="00027DF1"/>
    <w:rsid w:val="00031903"/>
    <w:rsid w:val="0003222D"/>
    <w:rsid w:val="00034BB5"/>
    <w:rsid w:val="00034FD9"/>
    <w:rsid w:val="00041AA7"/>
    <w:rsid w:val="00044843"/>
    <w:rsid w:val="00045CDD"/>
    <w:rsid w:val="0006665E"/>
    <w:rsid w:val="0007148B"/>
    <w:rsid w:val="000727BA"/>
    <w:rsid w:val="00075047"/>
    <w:rsid w:val="00082BD3"/>
    <w:rsid w:val="000A027D"/>
    <w:rsid w:val="000A298C"/>
    <w:rsid w:val="000A37E9"/>
    <w:rsid w:val="000A3D60"/>
    <w:rsid w:val="000A58EF"/>
    <w:rsid w:val="000A69C2"/>
    <w:rsid w:val="000C4126"/>
    <w:rsid w:val="000D17D3"/>
    <w:rsid w:val="000D6E0B"/>
    <w:rsid w:val="000E3D03"/>
    <w:rsid w:val="00111740"/>
    <w:rsid w:val="001227B5"/>
    <w:rsid w:val="00130972"/>
    <w:rsid w:val="0013200C"/>
    <w:rsid w:val="00152406"/>
    <w:rsid w:val="00154274"/>
    <w:rsid w:val="0016174A"/>
    <w:rsid w:val="00165273"/>
    <w:rsid w:val="001742DA"/>
    <w:rsid w:val="001761B5"/>
    <w:rsid w:val="00181170"/>
    <w:rsid w:val="001923C3"/>
    <w:rsid w:val="00197C00"/>
    <w:rsid w:val="001A52CF"/>
    <w:rsid w:val="001B4EB1"/>
    <w:rsid w:val="001B6393"/>
    <w:rsid w:val="001C3D62"/>
    <w:rsid w:val="001D291E"/>
    <w:rsid w:val="001D6674"/>
    <w:rsid w:val="002027EB"/>
    <w:rsid w:val="002060D7"/>
    <w:rsid w:val="00210772"/>
    <w:rsid w:val="00211A70"/>
    <w:rsid w:val="00216078"/>
    <w:rsid w:val="002164F7"/>
    <w:rsid w:val="00223BF4"/>
    <w:rsid w:val="00225BA9"/>
    <w:rsid w:val="0022639A"/>
    <w:rsid w:val="0024182E"/>
    <w:rsid w:val="00244F7D"/>
    <w:rsid w:val="00247273"/>
    <w:rsid w:val="00247CD5"/>
    <w:rsid w:val="00247F2E"/>
    <w:rsid w:val="00250C3A"/>
    <w:rsid w:val="00255C41"/>
    <w:rsid w:val="002604B0"/>
    <w:rsid w:val="00264F19"/>
    <w:rsid w:val="0027768E"/>
    <w:rsid w:val="002826A9"/>
    <w:rsid w:val="0029088B"/>
    <w:rsid w:val="002A2068"/>
    <w:rsid w:val="002A2DE6"/>
    <w:rsid w:val="002A41E4"/>
    <w:rsid w:val="002A770B"/>
    <w:rsid w:val="002B13B6"/>
    <w:rsid w:val="002B32F2"/>
    <w:rsid w:val="002C361D"/>
    <w:rsid w:val="002C4428"/>
    <w:rsid w:val="002D55E3"/>
    <w:rsid w:val="002F5CA4"/>
    <w:rsid w:val="00310A0A"/>
    <w:rsid w:val="00313C67"/>
    <w:rsid w:val="003148B3"/>
    <w:rsid w:val="0032676E"/>
    <w:rsid w:val="0032777C"/>
    <w:rsid w:val="00332FF5"/>
    <w:rsid w:val="003373DE"/>
    <w:rsid w:val="0035260C"/>
    <w:rsid w:val="00354A4E"/>
    <w:rsid w:val="0036029F"/>
    <w:rsid w:val="00360C71"/>
    <w:rsid w:val="00367076"/>
    <w:rsid w:val="00367E21"/>
    <w:rsid w:val="00375A37"/>
    <w:rsid w:val="00383440"/>
    <w:rsid w:val="003A5EDF"/>
    <w:rsid w:val="003B1368"/>
    <w:rsid w:val="003B60EF"/>
    <w:rsid w:val="003D265D"/>
    <w:rsid w:val="003D72D0"/>
    <w:rsid w:val="003E1C2B"/>
    <w:rsid w:val="003E2336"/>
    <w:rsid w:val="003E2AB6"/>
    <w:rsid w:val="003E6280"/>
    <w:rsid w:val="003F1F30"/>
    <w:rsid w:val="003F497F"/>
    <w:rsid w:val="003F4AE4"/>
    <w:rsid w:val="003F4B32"/>
    <w:rsid w:val="0040086D"/>
    <w:rsid w:val="004041BA"/>
    <w:rsid w:val="004109D4"/>
    <w:rsid w:val="00420AE1"/>
    <w:rsid w:val="00421E5E"/>
    <w:rsid w:val="004308B1"/>
    <w:rsid w:val="00433148"/>
    <w:rsid w:val="004430A4"/>
    <w:rsid w:val="004576EC"/>
    <w:rsid w:val="004642EC"/>
    <w:rsid w:val="0046613F"/>
    <w:rsid w:val="00467C49"/>
    <w:rsid w:val="0047071F"/>
    <w:rsid w:val="00474F83"/>
    <w:rsid w:val="00475A0A"/>
    <w:rsid w:val="00487649"/>
    <w:rsid w:val="00487DDA"/>
    <w:rsid w:val="004941D2"/>
    <w:rsid w:val="00497EB9"/>
    <w:rsid w:val="004A2C07"/>
    <w:rsid w:val="004A7E44"/>
    <w:rsid w:val="004B0515"/>
    <w:rsid w:val="004C15F3"/>
    <w:rsid w:val="004E0384"/>
    <w:rsid w:val="004E53E5"/>
    <w:rsid w:val="004F0FB0"/>
    <w:rsid w:val="004F467C"/>
    <w:rsid w:val="004F7B2B"/>
    <w:rsid w:val="005009A9"/>
    <w:rsid w:val="00506C17"/>
    <w:rsid w:val="0051222C"/>
    <w:rsid w:val="00512B1B"/>
    <w:rsid w:val="00513835"/>
    <w:rsid w:val="005179CC"/>
    <w:rsid w:val="00530D7C"/>
    <w:rsid w:val="00531FB3"/>
    <w:rsid w:val="0053241B"/>
    <w:rsid w:val="00532EA7"/>
    <w:rsid w:val="005363FD"/>
    <w:rsid w:val="005372D9"/>
    <w:rsid w:val="0054359F"/>
    <w:rsid w:val="00546A7D"/>
    <w:rsid w:val="00550E69"/>
    <w:rsid w:val="005517C6"/>
    <w:rsid w:val="00552B0C"/>
    <w:rsid w:val="00567FFB"/>
    <w:rsid w:val="00571C5D"/>
    <w:rsid w:val="00575FEF"/>
    <w:rsid w:val="0058108F"/>
    <w:rsid w:val="00583A04"/>
    <w:rsid w:val="00590D03"/>
    <w:rsid w:val="005A0533"/>
    <w:rsid w:val="005A3953"/>
    <w:rsid w:val="005C1999"/>
    <w:rsid w:val="005C4EC3"/>
    <w:rsid w:val="005D13A8"/>
    <w:rsid w:val="005D2EAB"/>
    <w:rsid w:val="005D6FD1"/>
    <w:rsid w:val="005E30B1"/>
    <w:rsid w:val="005E4368"/>
    <w:rsid w:val="005E570D"/>
    <w:rsid w:val="005F1CF7"/>
    <w:rsid w:val="005F4F7C"/>
    <w:rsid w:val="0061629D"/>
    <w:rsid w:val="0062525B"/>
    <w:rsid w:val="00640B0E"/>
    <w:rsid w:val="006431EF"/>
    <w:rsid w:val="00645B76"/>
    <w:rsid w:val="006465FE"/>
    <w:rsid w:val="00661780"/>
    <w:rsid w:val="00664C8E"/>
    <w:rsid w:val="00670772"/>
    <w:rsid w:val="006720B2"/>
    <w:rsid w:val="0067331F"/>
    <w:rsid w:val="006747CF"/>
    <w:rsid w:val="00674A43"/>
    <w:rsid w:val="00680A0B"/>
    <w:rsid w:val="00680B26"/>
    <w:rsid w:val="00682BFD"/>
    <w:rsid w:val="00693FCB"/>
    <w:rsid w:val="006A05D6"/>
    <w:rsid w:val="006B3518"/>
    <w:rsid w:val="006B3EC8"/>
    <w:rsid w:val="006B7F07"/>
    <w:rsid w:val="006D35C0"/>
    <w:rsid w:val="006D4605"/>
    <w:rsid w:val="006D5A7C"/>
    <w:rsid w:val="006D7FBD"/>
    <w:rsid w:val="006F186F"/>
    <w:rsid w:val="006F4F92"/>
    <w:rsid w:val="00704D6C"/>
    <w:rsid w:val="00714B95"/>
    <w:rsid w:val="00714BC6"/>
    <w:rsid w:val="00715E59"/>
    <w:rsid w:val="007337FB"/>
    <w:rsid w:val="007340C3"/>
    <w:rsid w:val="007350FA"/>
    <w:rsid w:val="0073542E"/>
    <w:rsid w:val="00736959"/>
    <w:rsid w:val="00740A58"/>
    <w:rsid w:val="00747A77"/>
    <w:rsid w:val="00750033"/>
    <w:rsid w:val="007501A3"/>
    <w:rsid w:val="00750574"/>
    <w:rsid w:val="0075685A"/>
    <w:rsid w:val="00763A5D"/>
    <w:rsid w:val="00764CCE"/>
    <w:rsid w:val="00767D5C"/>
    <w:rsid w:val="00770686"/>
    <w:rsid w:val="00774E68"/>
    <w:rsid w:val="0077538E"/>
    <w:rsid w:val="007821A8"/>
    <w:rsid w:val="00785260"/>
    <w:rsid w:val="007875CA"/>
    <w:rsid w:val="0079582D"/>
    <w:rsid w:val="007A4959"/>
    <w:rsid w:val="007B22E5"/>
    <w:rsid w:val="007B5F72"/>
    <w:rsid w:val="007B6E1C"/>
    <w:rsid w:val="007C0FA4"/>
    <w:rsid w:val="007C6D6F"/>
    <w:rsid w:val="007D4A9C"/>
    <w:rsid w:val="007E53BD"/>
    <w:rsid w:val="007F4948"/>
    <w:rsid w:val="007F6FCF"/>
    <w:rsid w:val="007F735D"/>
    <w:rsid w:val="008028BD"/>
    <w:rsid w:val="00804A0B"/>
    <w:rsid w:val="00805C23"/>
    <w:rsid w:val="00821BC9"/>
    <w:rsid w:val="0082532E"/>
    <w:rsid w:val="00826202"/>
    <w:rsid w:val="0083188F"/>
    <w:rsid w:val="00834443"/>
    <w:rsid w:val="0085067B"/>
    <w:rsid w:val="00851B27"/>
    <w:rsid w:val="00851DBB"/>
    <w:rsid w:val="0085798A"/>
    <w:rsid w:val="00860A36"/>
    <w:rsid w:val="008611D6"/>
    <w:rsid w:val="008666A0"/>
    <w:rsid w:val="0087708C"/>
    <w:rsid w:val="00884C62"/>
    <w:rsid w:val="0089340B"/>
    <w:rsid w:val="00894283"/>
    <w:rsid w:val="008A19CA"/>
    <w:rsid w:val="008B4F7C"/>
    <w:rsid w:val="008B4FB2"/>
    <w:rsid w:val="008B545E"/>
    <w:rsid w:val="008C068D"/>
    <w:rsid w:val="008F0EAE"/>
    <w:rsid w:val="008F3C57"/>
    <w:rsid w:val="009028CF"/>
    <w:rsid w:val="00904F9A"/>
    <w:rsid w:val="00906436"/>
    <w:rsid w:val="00906D2F"/>
    <w:rsid w:val="0091796E"/>
    <w:rsid w:val="00923392"/>
    <w:rsid w:val="00960614"/>
    <w:rsid w:val="00962953"/>
    <w:rsid w:val="00983DE9"/>
    <w:rsid w:val="009853D3"/>
    <w:rsid w:val="00990645"/>
    <w:rsid w:val="009917BB"/>
    <w:rsid w:val="009964E9"/>
    <w:rsid w:val="0099734E"/>
    <w:rsid w:val="00997619"/>
    <w:rsid w:val="009A268A"/>
    <w:rsid w:val="009A4345"/>
    <w:rsid w:val="009A5A01"/>
    <w:rsid w:val="009B13C0"/>
    <w:rsid w:val="009B28BF"/>
    <w:rsid w:val="009C08EA"/>
    <w:rsid w:val="009C1F06"/>
    <w:rsid w:val="009C413D"/>
    <w:rsid w:val="009C489E"/>
    <w:rsid w:val="009C64BF"/>
    <w:rsid w:val="009E104A"/>
    <w:rsid w:val="009E36EE"/>
    <w:rsid w:val="009F2F79"/>
    <w:rsid w:val="009F37FD"/>
    <w:rsid w:val="00A03171"/>
    <w:rsid w:val="00A04EDD"/>
    <w:rsid w:val="00A100CA"/>
    <w:rsid w:val="00A12A44"/>
    <w:rsid w:val="00A14F8E"/>
    <w:rsid w:val="00A21707"/>
    <w:rsid w:val="00A22D9A"/>
    <w:rsid w:val="00A24FB2"/>
    <w:rsid w:val="00A31DB8"/>
    <w:rsid w:val="00A42FDB"/>
    <w:rsid w:val="00A46DC2"/>
    <w:rsid w:val="00A47930"/>
    <w:rsid w:val="00A54A53"/>
    <w:rsid w:val="00A565BE"/>
    <w:rsid w:val="00A56964"/>
    <w:rsid w:val="00A64D52"/>
    <w:rsid w:val="00A64E58"/>
    <w:rsid w:val="00A86289"/>
    <w:rsid w:val="00A9325D"/>
    <w:rsid w:val="00A9594E"/>
    <w:rsid w:val="00AA1472"/>
    <w:rsid w:val="00AA256A"/>
    <w:rsid w:val="00AA279D"/>
    <w:rsid w:val="00AA5D1C"/>
    <w:rsid w:val="00AC5C9F"/>
    <w:rsid w:val="00AC796F"/>
    <w:rsid w:val="00AD2B02"/>
    <w:rsid w:val="00AD5628"/>
    <w:rsid w:val="00AE5D54"/>
    <w:rsid w:val="00AF08F7"/>
    <w:rsid w:val="00AF0AD6"/>
    <w:rsid w:val="00AF19B9"/>
    <w:rsid w:val="00AF7013"/>
    <w:rsid w:val="00B12BBD"/>
    <w:rsid w:val="00B2335F"/>
    <w:rsid w:val="00B30AA1"/>
    <w:rsid w:val="00B43F4E"/>
    <w:rsid w:val="00B67CC1"/>
    <w:rsid w:val="00B72448"/>
    <w:rsid w:val="00B77B78"/>
    <w:rsid w:val="00B8732B"/>
    <w:rsid w:val="00B90CB9"/>
    <w:rsid w:val="00B9638F"/>
    <w:rsid w:val="00BA1AE6"/>
    <w:rsid w:val="00BB3903"/>
    <w:rsid w:val="00BC4284"/>
    <w:rsid w:val="00BC591F"/>
    <w:rsid w:val="00BC713D"/>
    <w:rsid w:val="00BD1059"/>
    <w:rsid w:val="00BD2851"/>
    <w:rsid w:val="00BE17F2"/>
    <w:rsid w:val="00BF3D55"/>
    <w:rsid w:val="00BF53B3"/>
    <w:rsid w:val="00BF5B47"/>
    <w:rsid w:val="00C011FD"/>
    <w:rsid w:val="00C21A02"/>
    <w:rsid w:val="00C3215A"/>
    <w:rsid w:val="00C459C9"/>
    <w:rsid w:val="00C47053"/>
    <w:rsid w:val="00C57542"/>
    <w:rsid w:val="00C63C9B"/>
    <w:rsid w:val="00C67186"/>
    <w:rsid w:val="00C72AE1"/>
    <w:rsid w:val="00C752CA"/>
    <w:rsid w:val="00C83FB0"/>
    <w:rsid w:val="00C84C80"/>
    <w:rsid w:val="00C85647"/>
    <w:rsid w:val="00C856A2"/>
    <w:rsid w:val="00C87F18"/>
    <w:rsid w:val="00C93620"/>
    <w:rsid w:val="00CA09CD"/>
    <w:rsid w:val="00CA2061"/>
    <w:rsid w:val="00CA384E"/>
    <w:rsid w:val="00CA65A7"/>
    <w:rsid w:val="00CA7021"/>
    <w:rsid w:val="00CB2349"/>
    <w:rsid w:val="00CB4F96"/>
    <w:rsid w:val="00CC0499"/>
    <w:rsid w:val="00CC4DBB"/>
    <w:rsid w:val="00CD3764"/>
    <w:rsid w:val="00CE1624"/>
    <w:rsid w:val="00CF044A"/>
    <w:rsid w:val="00CF4BB6"/>
    <w:rsid w:val="00CF74F0"/>
    <w:rsid w:val="00D00D38"/>
    <w:rsid w:val="00D01D0F"/>
    <w:rsid w:val="00D10B02"/>
    <w:rsid w:val="00D12D57"/>
    <w:rsid w:val="00D13742"/>
    <w:rsid w:val="00D26DE7"/>
    <w:rsid w:val="00D31094"/>
    <w:rsid w:val="00D410D3"/>
    <w:rsid w:val="00D431EC"/>
    <w:rsid w:val="00D44ED3"/>
    <w:rsid w:val="00D53687"/>
    <w:rsid w:val="00D636DC"/>
    <w:rsid w:val="00D6482E"/>
    <w:rsid w:val="00D64A9A"/>
    <w:rsid w:val="00D80425"/>
    <w:rsid w:val="00D83727"/>
    <w:rsid w:val="00D85AE4"/>
    <w:rsid w:val="00D915F8"/>
    <w:rsid w:val="00D96F26"/>
    <w:rsid w:val="00DA1AA5"/>
    <w:rsid w:val="00DA2F3D"/>
    <w:rsid w:val="00DB48E8"/>
    <w:rsid w:val="00DB4F02"/>
    <w:rsid w:val="00DB7796"/>
    <w:rsid w:val="00DC1C8F"/>
    <w:rsid w:val="00DC5CC0"/>
    <w:rsid w:val="00DC7C3E"/>
    <w:rsid w:val="00DD0AA0"/>
    <w:rsid w:val="00DD23FA"/>
    <w:rsid w:val="00DD577D"/>
    <w:rsid w:val="00DD6DE6"/>
    <w:rsid w:val="00DE00A6"/>
    <w:rsid w:val="00DE6981"/>
    <w:rsid w:val="00E07248"/>
    <w:rsid w:val="00E121D8"/>
    <w:rsid w:val="00E15290"/>
    <w:rsid w:val="00E17ECA"/>
    <w:rsid w:val="00E21AC5"/>
    <w:rsid w:val="00E27F02"/>
    <w:rsid w:val="00E30A95"/>
    <w:rsid w:val="00E3304B"/>
    <w:rsid w:val="00E33B56"/>
    <w:rsid w:val="00E36E8C"/>
    <w:rsid w:val="00E46AC1"/>
    <w:rsid w:val="00E53607"/>
    <w:rsid w:val="00E62EB2"/>
    <w:rsid w:val="00E64305"/>
    <w:rsid w:val="00E65AFE"/>
    <w:rsid w:val="00E74DCD"/>
    <w:rsid w:val="00E767CC"/>
    <w:rsid w:val="00E81868"/>
    <w:rsid w:val="00E9263E"/>
    <w:rsid w:val="00E930F4"/>
    <w:rsid w:val="00E97440"/>
    <w:rsid w:val="00E97705"/>
    <w:rsid w:val="00E97749"/>
    <w:rsid w:val="00EA2224"/>
    <w:rsid w:val="00EB108E"/>
    <w:rsid w:val="00EB2586"/>
    <w:rsid w:val="00EB68DB"/>
    <w:rsid w:val="00EB6CA7"/>
    <w:rsid w:val="00EC2501"/>
    <w:rsid w:val="00EC28A2"/>
    <w:rsid w:val="00EC301C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114D0"/>
    <w:rsid w:val="00F12819"/>
    <w:rsid w:val="00F22537"/>
    <w:rsid w:val="00F319C3"/>
    <w:rsid w:val="00F46AF3"/>
    <w:rsid w:val="00F46E03"/>
    <w:rsid w:val="00F4705B"/>
    <w:rsid w:val="00F47068"/>
    <w:rsid w:val="00F4739A"/>
    <w:rsid w:val="00F52A15"/>
    <w:rsid w:val="00F54152"/>
    <w:rsid w:val="00F562E5"/>
    <w:rsid w:val="00F622E1"/>
    <w:rsid w:val="00F64336"/>
    <w:rsid w:val="00F65E84"/>
    <w:rsid w:val="00F67D94"/>
    <w:rsid w:val="00F70444"/>
    <w:rsid w:val="00F75E58"/>
    <w:rsid w:val="00F7758E"/>
    <w:rsid w:val="00F77E05"/>
    <w:rsid w:val="00F83745"/>
    <w:rsid w:val="00F85BA0"/>
    <w:rsid w:val="00F97A4E"/>
    <w:rsid w:val="00FA5ED0"/>
    <w:rsid w:val="00FA7045"/>
    <w:rsid w:val="00FB198C"/>
    <w:rsid w:val="00FB2714"/>
    <w:rsid w:val="00FB3C87"/>
    <w:rsid w:val="00FC35CF"/>
    <w:rsid w:val="00FC5F60"/>
    <w:rsid w:val="00FD3A7D"/>
    <w:rsid w:val="00FD4D9F"/>
    <w:rsid w:val="00FD5AAD"/>
    <w:rsid w:val="00FE18AB"/>
    <w:rsid w:val="00FE1F46"/>
    <w:rsid w:val="00FE2136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FD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1761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61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6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4" ma:contentTypeDescription="Create a new document." ma:contentTypeScope="" ma:versionID="fc00334754aa581c0fa2dc47773fbe3b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cb5be191e1948dec1032c6544271cf2c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55125-D42D-4899-B586-6A7B83C7CF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3E63FA-4465-41DA-8C46-465DABDC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2021-07-23T23:15:00Z</dcterms:created>
  <dcterms:modified xsi:type="dcterms:W3CDTF">2021-07-23T23:15:00Z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