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59" w:rsidRDefault="00D654D1" w:rsidP="0078294C">
      <w:pPr>
        <w:ind w:firstLine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  <w:color w:val="7030A0"/>
        </w:rPr>
        <w:t>PG&amp;E</w:t>
      </w:r>
      <w:r w:rsidR="00B9638F" w:rsidRPr="00960036">
        <w:rPr>
          <w:rFonts w:ascii="Century Gothic" w:hAnsi="Century Gothic" w:cs="Calibri"/>
          <w:b/>
          <w:bCs/>
          <w:color w:val="7030A0"/>
        </w:rPr>
        <w:t xml:space="preserve"> 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Advice Letter – </w:t>
      </w:r>
      <w:r w:rsidR="00CC5559" w:rsidRPr="00CC5559">
        <w:rPr>
          <w:rFonts w:ascii="Century Gothic" w:hAnsi="Century Gothic" w:cs="Calibri"/>
        </w:rPr>
        <w:t xml:space="preserve">PG&amp;E annually submits its “Annual Electric True-Up” (AET) Advice Letter implementing </w:t>
      </w:r>
      <w:r w:rsidR="009C3CFA">
        <w:rPr>
          <w:rFonts w:ascii="Century Gothic" w:hAnsi="Century Gothic" w:cs="Calibri"/>
        </w:rPr>
        <w:t>its new electric rates</w:t>
      </w:r>
      <w:r w:rsidR="00CC5559" w:rsidRPr="00CC5559">
        <w:rPr>
          <w:rFonts w:ascii="Century Gothic" w:hAnsi="Century Gothic" w:cs="Calibri"/>
        </w:rPr>
        <w:t xml:space="preserve"> and their associated tariffs from previously authorized decisions, resolutions, and advice letters. </w:t>
      </w:r>
      <w:r w:rsidR="00D431B7" w:rsidRPr="00D431B7">
        <w:rPr>
          <w:rFonts w:ascii="Century Gothic" w:hAnsi="Century Gothic" w:cs="Calibri"/>
        </w:rPr>
        <w:t>Collectively, these changes will result in rate and bill impacts beginning on January 1, 202</w:t>
      </w:r>
      <w:r w:rsidR="00861CBE">
        <w:rPr>
          <w:rFonts w:ascii="Century Gothic" w:hAnsi="Century Gothic" w:cs="Calibri"/>
        </w:rPr>
        <w:t>1</w:t>
      </w:r>
      <w:r w:rsidR="00D431B7" w:rsidRPr="00D431B7">
        <w:rPr>
          <w:rFonts w:ascii="Century Gothic" w:hAnsi="Century Gothic" w:cs="Calibri"/>
        </w:rPr>
        <w:t>.</w:t>
      </w:r>
    </w:p>
    <w:p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All Requested </w:t>
      </w:r>
      <w:r w:rsidR="00194A88">
        <w:rPr>
          <w:rFonts w:ascii="Century Gothic" w:hAnsi="Century Gothic" w:cs="Calibri"/>
          <w:b/>
          <w:bCs/>
          <w:u w:val="single"/>
        </w:rPr>
        <w:t xml:space="preserve">Electric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Rate Changes Effective </w:t>
      </w:r>
      <w:r w:rsidR="00D654D1">
        <w:rPr>
          <w:rFonts w:ascii="Century Gothic" w:hAnsi="Century Gothic" w:cs="Calibri"/>
          <w:b/>
          <w:bCs/>
          <w:u w:val="single"/>
        </w:rPr>
        <w:t>January 1, 2021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960036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1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2164F7" w:rsidRPr="00960036" w:rsidRDefault="00EA38F3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PG&amp;E</w:t>
            </w:r>
            <w:r w:rsidRPr="00960036">
              <w:rPr>
                <w:rFonts w:ascii="Century Gothic" w:hAnsi="Century Gothic" w:cs="Calibri"/>
              </w:rPr>
              <w:t xml:space="preserve"> </w:t>
            </w:r>
            <w:r w:rsidR="000327F4">
              <w:rPr>
                <w:rFonts w:ascii="Century Gothic" w:hAnsi="Century Gothic" w:cs="Calibri"/>
              </w:rPr>
              <w:t>as of January 1, 2021</w:t>
            </w:r>
          </w:p>
        </w:tc>
      </w:tr>
      <w:tr w:rsidR="002164F7" w:rsidRPr="00960036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B637B2">
              <w:rPr>
                <w:rFonts w:ascii="Century Gothic" w:hAnsi="Century Gothic" w:cs="Calibri"/>
              </w:rPr>
              <w:t>1</w:t>
            </w:r>
            <w:r w:rsidR="00353BE3">
              <w:rPr>
                <w:rFonts w:ascii="Century Gothic" w:hAnsi="Century Gothic" w:cs="Calibri"/>
              </w:rPr>
              <w:t>33.67</w:t>
            </w:r>
          </w:p>
        </w:tc>
      </w:tr>
      <w:tr w:rsidR="00863057" w:rsidRPr="00960036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353BE3">
              <w:rPr>
                <w:rFonts w:ascii="Century Gothic" w:hAnsi="Century Gothic" w:cs="Calibri"/>
              </w:rPr>
              <w:t>3.04</w:t>
            </w:r>
            <w:r>
              <w:rPr>
                <w:rFonts w:ascii="Century Gothic" w:hAnsi="Century Gothic" w:cs="Calibri"/>
              </w:rPr>
              <w:t xml:space="preserve"> (</w:t>
            </w:r>
            <w:r w:rsidR="00353BE3">
              <w:rPr>
                <w:rFonts w:ascii="Century Gothic" w:hAnsi="Century Gothic" w:cs="Calibri"/>
              </w:rPr>
              <w:t>2.3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944" w:type="dxa"/>
            <w:shd w:val="clear" w:color="auto" w:fill="00B0F0"/>
          </w:tcPr>
          <w:p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353BE3">
              <w:rPr>
                <w:rFonts w:ascii="Century Gothic" w:hAnsi="Century Gothic" w:cs="Calibri"/>
              </w:rPr>
              <w:t>87.07</w:t>
            </w:r>
          </w:p>
        </w:tc>
      </w:tr>
      <w:tr w:rsidR="00863057" w:rsidRPr="00960036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944" w:type="dxa"/>
          </w:tcPr>
          <w:p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B637B2">
              <w:rPr>
                <w:rFonts w:ascii="Century Gothic" w:hAnsi="Century Gothic" w:cs="Calibri"/>
              </w:rPr>
              <w:t>1.</w:t>
            </w:r>
            <w:r w:rsidR="00353BE3">
              <w:rPr>
                <w:rFonts w:ascii="Century Gothic" w:hAnsi="Century Gothic" w:cs="Calibri"/>
              </w:rPr>
              <w:t>86</w:t>
            </w:r>
            <w:r>
              <w:rPr>
                <w:rFonts w:ascii="Century Gothic" w:hAnsi="Century Gothic" w:cs="Calibri"/>
              </w:rPr>
              <w:t xml:space="preserve"> (</w:t>
            </w:r>
            <w:r w:rsidR="00353BE3">
              <w:rPr>
                <w:rFonts w:ascii="Century Gothic" w:hAnsi="Century Gothic" w:cs="Calibri"/>
              </w:rPr>
              <w:t>2.1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:rsidR="00CB4F96" w:rsidRPr="00960036" w:rsidRDefault="00CB4F96" w:rsidP="00CB4F96">
      <w:pPr>
        <w:ind w:firstLine="0"/>
        <w:rPr>
          <w:rFonts w:ascii="Century Gothic" w:hAnsi="Century Gothic" w:cs="Calibri"/>
        </w:rPr>
      </w:pPr>
      <w:r w:rsidRPr="00960036">
        <w:rPr>
          <w:rFonts w:ascii="Century Gothic" w:hAnsi="Century Gothic" w:cs="Calibri"/>
        </w:rPr>
        <w:t>Below are the electric rate change highlights:</w:t>
      </w:r>
    </w:p>
    <w:p w:rsidR="002164F7" w:rsidRPr="00960036" w:rsidRDefault="002164F7" w:rsidP="002164F7">
      <w:pPr>
        <w:ind w:firstLine="0"/>
        <w:rPr>
          <w:rFonts w:ascii="Century Gothic" w:hAnsi="Century Gothic" w:cs="Calibri"/>
          <w:u w:val="single"/>
        </w:rPr>
      </w:pPr>
    </w:p>
    <w:p w:rsidR="00421E5E" w:rsidRPr="00960036" w:rsidRDefault="6FB9CC6D" w:rsidP="00B77B78">
      <w:pPr>
        <w:pStyle w:val="ListParagraph"/>
        <w:numPr>
          <w:ilvl w:val="0"/>
          <w:numId w:val="11"/>
        </w:numPr>
        <w:rPr>
          <w:rFonts w:ascii="Century Gothic" w:hAnsi="Century Gothic" w:cs="Calibri"/>
          <w:b/>
          <w:bCs/>
        </w:rPr>
      </w:pPr>
      <w:r w:rsidRPr="6FB9CC6D">
        <w:rPr>
          <w:rFonts w:ascii="Century Gothic" w:hAnsi="Century Gothic" w:cs="Calibri"/>
          <w:b/>
          <w:bCs/>
        </w:rPr>
        <w:t>PG&amp;E Annual Electric True-Up implementation (Advice Letter 6004-E-C) Highlights:</w:t>
      </w:r>
    </w:p>
    <w:p w:rsidR="00664C8E" w:rsidRPr="00960036" w:rsidRDefault="00664C8E" w:rsidP="00664C8E">
      <w:pPr>
        <w:pStyle w:val="ListParagraph"/>
        <w:spacing w:before="120"/>
        <w:ind w:left="1080" w:firstLine="0"/>
        <w:rPr>
          <w:rFonts w:ascii="Century Gothic" w:hAnsi="Century Gothic" w:cs="Calibri"/>
          <w:sz w:val="14"/>
          <w:szCs w:val="14"/>
        </w:rPr>
      </w:pPr>
    </w:p>
    <w:p w:rsidR="00664C8E" w:rsidRDefault="00EB545D" w:rsidP="00664C8E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On </w:t>
      </w:r>
      <w:r w:rsidR="009C3CFA">
        <w:rPr>
          <w:rFonts w:ascii="Century Gothic" w:hAnsi="Century Gothic" w:cs="Calibri"/>
        </w:rPr>
        <w:t>January 1</w:t>
      </w:r>
      <w:r>
        <w:rPr>
          <w:rFonts w:ascii="Century Gothic" w:hAnsi="Century Gothic" w:cs="Calibri"/>
        </w:rPr>
        <w:t>, 202</w:t>
      </w:r>
      <w:r w:rsidR="009C3CFA">
        <w:rPr>
          <w:rFonts w:ascii="Century Gothic" w:hAnsi="Century Gothic" w:cs="Calibri"/>
        </w:rPr>
        <w:t>1</w:t>
      </w:r>
      <w:r>
        <w:rPr>
          <w:rFonts w:ascii="Century Gothic" w:hAnsi="Century Gothic" w:cs="Calibri"/>
        </w:rPr>
        <w:t xml:space="preserve">, the rate change reflecting </w:t>
      </w:r>
      <w:r w:rsidR="00664C8E" w:rsidRPr="00960036">
        <w:rPr>
          <w:rFonts w:ascii="Century Gothic" w:hAnsi="Century Gothic" w:cs="Calibri"/>
        </w:rPr>
        <w:t xml:space="preserve">the </w:t>
      </w:r>
      <w:r w:rsidRPr="00960036">
        <w:rPr>
          <w:rFonts w:ascii="Century Gothic" w:hAnsi="Century Gothic" w:cs="Calibri"/>
        </w:rPr>
        <w:t>$</w:t>
      </w:r>
      <w:r w:rsidR="00EA38F3">
        <w:rPr>
          <w:rFonts w:ascii="Century Gothic" w:hAnsi="Century Gothic" w:cs="Calibri"/>
        </w:rPr>
        <w:t>307.5</w:t>
      </w:r>
      <w:r w:rsidR="00E3467E">
        <w:rPr>
          <w:rFonts w:ascii="Century Gothic" w:hAnsi="Century Gothic" w:cs="Calibri"/>
        </w:rPr>
        <w:t xml:space="preserve"> million</w:t>
      </w:r>
      <w:r w:rsidRPr="00960036">
        <w:rPr>
          <w:rFonts w:ascii="Century Gothic" w:hAnsi="Century Gothic" w:cs="Calibri"/>
        </w:rPr>
        <w:t xml:space="preserve"> </w:t>
      </w:r>
      <w:r w:rsidR="009C3CFA">
        <w:rPr>
          <w:rFonts w:ascii="Century Gothic" w:hAnsi="Century Gothic" w:cs="Calibri"/>
        </w:rPr>
        <w:t>decrease</w:t>
      </w:r>
      <w:r w:rsidR="00664C8E" w:rsidRPr="00960036">
        <w:rPr>
          <w:rFonts w:ascii="Century Gothic" w:hAnsi="Century Gothic" w:cs="Calibri"/>
        </w:rPr>
        <w:t xml:space="preserve"> from </w:t>
      </w:r>
      <w:r w:rsidR="000D0C25">
        <w:rPr>
          <w:rFonts w:ascii="Century Gothic" w:hAnsi="Century Gothic" w:cs="Calibri"/>
        </w:rPr>
        <w:t xml:space="preserve">the </w:t>
      </w:r>
      <w:r w:rsidR="001F7C6B">
        <w:rPr>
          <w:rFonts w:ascii="Century Gothic" w:hAnsi="Century Gothic" w:cs="Calibri"/>
        </w:rPr>
        <w:t xml:space="preserve">current </w:t>
      </w:r>
      <w:r w:rsidR="00194A88">
        <w:rPr>
          <w:rFonts w:ascii="Century Gothic" w:hAnsi="Century Gothic" w:cs="Calibri"/>
        </w:rPr>
        <w:t xml:space="preserve">authorized </w:t>
      </w:r>
      <w:proofErr w:type="gramStart"/>
      <w:r w:rsidR="00194A88">
        <w:rPr>
          <w:rFonts w:ascii="Century Gothic" w:hAnsi="Century Gothic" w:cs="Calibri"/>
        </w:rPr>
        <w:t xml:space="preserve">revenue </w:t>
      </w:r>
      <w:r w:rsidR="00664C8E" w:rsidRPr="00960036">
        <w:rPr>
          <w:rFonts w:ascii="Century Gothic" w:hAnsi="Century Gothic" w:cs="Calibri"/>
        </w:rPr>
        <w:t xml:space="preserve"> </w:t>
      </w:r>
      <w:r w:rsidR="00B8063D">
        <w:rPr>
          <w:rFonts w:ascii="Century Gothic" w:hAnsi="Century Gothic" w:cs="Calibri"/>
        </w:rPr>
        <w:t>of</w:t>
      </w:r>
      <w:proofErr w:type="gramEnd"/>
      <w:r w:rsidR="00B8063D">
        <w:rPr>
          <w:rFonts w:ascii="Century Gothic" w:hAnsi="Century Gothic" w:cs="Calibri"/>
        </w:rPr>
        <w:t xml:space="preserve"> $</w:t>
      </w:r>
      <w:r w:rsidR="009C3CFA">
        <w:rPr>
          <w:rFonts w:ascii="Century Gothic" w:hAnsi="Century Gothic" w:cs="Calibri"/>
        </w:rPr>
        <w:t>14</w:t>
      </w:r>
      <w:r w:rsidR="00E3467E">
        <w:rPr>
          <w:rFonts w:ascii="Century Gothic" w:hAnsi="Century Gothic" w:cs="Calibri"/>
        </w:rPr>
        <w:t>.1 billion</w:t>
      </w:r>
      <w:r w:rsidR="00B8063D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will take place.</w:t>
      </w:r>
    </w:p>
    <w:p w:rsidR="00EA38F3" w:rsidRPr="00960036" w:rsidRDefault="6FB9CC6D" w:rsidP="00664C8E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Calibri"/>
        </w:rPr>
      </w:pPr>
      <w:r w:rsidRPr="6FB9CC6D">
        <w:rPr>
          <w:rFonts w:ascii="Century Gothic" w:hAnsi="Century Gothic" w:cs="Calibri"/>
        </w:rPr>
        <w:t>Bundled Residential Electric rates will increase by 1.86% for CARE customers and decrease by 0.24% for non-CARE customers, for an average weighted residential rate increase of 0.28%.</w:t>
      </w:r>
    </w:p>
    <w:p w:rsidR="00664C8E" w:rsidRDefault="00E3467E" w:rsidP="009C3CFA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bookmarkStart w:id="0" w:name="_GoBack"/>
      <w:bookmarkEnd w:id="0"/>
      <w:r>
        <w:rPr>
          <w:rFonts w:ascii="Century Gothic" w:hAnsi="Century Gothic" w:cs="Calibri"/>
        </w:rPr>
        <w:t>The primary drivers of the January 1</w:t>
      </w:r>
      <w:r w:rsidRPr="00E3467E">
        <w:rPr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 xml:space="preserve"> rate change are:</w:t>
      </w:r>
    </w:p>
    <w:p w:rsidR="00E3467E" w:rsidRDefault="00194A88" w:rsidP="00E3467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</w:t>
      </w:r>
      <w:r w:rsidR="00E3467E">
        <w:rPr>
          <w:rFonts w:ascii="Century Gothic" w:hAnsi="Century Gothic" w:cs="Calibri"/>
        </w:rPr>
        <w:t xml:space="preserve">ate </w:t>
      </w:r>
      <w:r>
        <w:rPr>
          <w:rFonts w:ascii="Century Gothic" w:hAnsi="Century Gothic" w:cs="Calibri"/>
        </w:rPr>
        <w:t xml:space="preserve">increases </w:t>
      </w:r>
      <w:r w:rsidR="00E3467E">
        <w:rPr>
          <w:rFonts w:ascii="Century Gothic" w:hAnsi="Century Gothic" w:cs="Calibri"/>
        </w:rPr>
        <w:t>for</w:t>
      </w:r>
      <w:r w:rsidR="00E3467E" w:rsidRPr="00E3467E">
        <w:rPr>
          <w:rFonts w:ascii="Century Gothic" w:hAnsi="Century Gothic" w:cs="Calibri"/>
        </w:rPr>
        <w:t xml:space="preserve"> specified wildfire mitigation costs</w:t>
      </w:r>
      <w:r w:rsidR="00E3467E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as approved in Decision (</w:t>
      </w:r>
      <w:r w:rsidR="00E3467E">
        <w:rPr>
          <w:rFonts w:ascii="Century Gothic" w:hAnsi="Century Gothic" w:cs="Calibri"/>
        </w:rPr>
        <w:t>D.</w:t>
      </w:r>
      <w:r>
        <w:rPr>
          <w:rFonts w:ascii="Century Gothic" w:hAnsi="Century Gothic" w:cs="Calibri"/>
        </w:rPr>
        <w:t xml:space="preserve">) </w:t>
      </w:r>
      <w:r w:rsidR="00E3467E">
        <w:rPr>
          <w:rFonts w:ascii="Century Gothic" w:hAnsi="Century Gothic" w:cs="Calibri"/>
        </w:rPr>
        <w:t>20-10-026)</w:t>
      </w:r>
      <w:r w:rsidR="006472E9">
        <w:rPr>
          <w:rFonts w:ascii="Century Gothic" w:hAnsi="Century Gothic" w:cs="Calibri"/>
        </w:rPr>
        <w:t xml:space="preserve"> ($316M)</w:t>
      </w:r>
    </w:p>
    <w:p w:rsidR="00E3467E" w:rsidRDefault="00E3467E" w:rsidP="00E3467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ERRA</w:t>
      </w:r>
      <w:r w:rsidR="00861CBE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rate adjustments for fuel and purchased power costs</w:t>
      </w:r>
      <w:r w:rsidR="0088523A">
        <w:rPr>
          <w:rFonts w:ascii="Century Gothic" w:hAnsi="Century Gothic" w:cs="Calibri"/>
        </w:rPr>
        <w:t xml:space="preserve"> and PCIA rate changes</w:t>
      </w:r>
      <w:r>
        <w:rPr>
          <w:rFonts w:ascii="Century Gothic" w:hAnsi="Century Gothic" w:cs="Calibri"/>
        </w:rPr>
        <w:t xml:space="preserve"> (</w:t>
      </w:r>
      <w:r w:rsidR="00861CBE">
        <w:rPr>
          <w:rFonts w:ascii="Century Gothic" w:hAnsi="Century Gothic" w:cs="Calibri"/>
        </w:rPr>
        <w:t>D.) 20-12-038</w:t>
      </w:r>
      <w:r w:rsidR="006472E9">
        <w:rPr>
          <w:rFonts w:ascii="Century Gothic" w:hAnsi="Century Gothic" w:cs="Calibri"/>
        </w:rPr>
        <w:t xml:space="preserve"> (-$515M)</w:t>
      </w:r>
    </w:p>
    <w:p w:rsidR="00861CBE" w:rsidRDefault="00194A88" w:rsidP="00E3467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Adjustments based on </w:t>
      </w:r>
      <w:r w:rsidR="00E3467E">
        <w:rPr>
          <w:rFonts w:ascii="Century Gothic" w:hAnsi="Century Gothic" w:cs="Calibri"/>
        </w:rPr>
        <w:t>2017 Tax Cut</w:t>
      </w:r>
      <w:r>
        <w:rPr>
          <w:rFonts w:ascii="Century Gothic" w:hAnsi="Century Gothic" w:cs="Calibri"/>
        </w:rPr>
        <w:t>s and Job Act</w:t>
      </w:r>
      <w:r w:rsidR="006472E9">
        <w:rPr>
          <w:rFonts w:ascii="Century Gothic" w:hAnsi="Century Gothic" w:cs="Calibri"/>
        </w:rPr>
        <w:t xml:space="preserve"> (-$216M)</w:t>
      </w:r>
    </w:p>
    <w:p w:rsidR="00E3467E" w:rsidRDefault="000327F4" w:rsidP="00E3467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Recovery of costs owed to PG&amp;E that have accumulated </w:t>
      </w:r>
      <w:r w:rsidR="00861CBE">
        <w:rPr>
          <w:rFonts w:ascii="Century Gothic" w:hAnsi="Century Gothic" w:cs="Calibri"/>
        </w:rPr>
        <w:t xml:space="preserve"> in distribution rate balancing accounts</w:t>
      </w:r>
      <w:r w:rsidR="00194A88">
        <w:rPr>
          <w:rFonts w:ascii="Century Gothic" w:hAnsi="Century Gothic" w:cs="Calibri"/>
        </w:rPr>
        <w:t xml:space="preserve"> </w:t>
      </w:r>
      <w:r w:rsidR="006472E9">
        <w:rPr>
          <w:rFonts w:ascii="Century Gothic" w:hAnsi="Century Gothic" w:cs="Calibri"/>
        </w:rPr>
        <w:t>($250M)</w:t>
      </w:r>
    </w:p>
    <w:p w:rsidR="00E3467E" w:rsidRDefault="00400566" w:rsidP="00E3467E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Other p</w:t>
      </w:r>
      <w:r w:rsidRPr="00400566">
        <w:rPr>
          <w:rFonts w:ascii="Century Gothic" w:hAnsi="Century Gothic" w:cs="Calibri"/>
        </w:rPr>
        <w:t xml:space="preserve">reviously approved revenue &amp; rate changes implemented in </w:t>
      </w:r>
      <w:r>
        <w:rPr>
          <w:rFonts w:ascii="Century Gothic" w:hAnsi="Century Gothic" w:cs="Calibri"/>
        </w:rPr>
        <w:t>PG&amp;E</w:t>
      </w:r>
      <w:r w:rsidRPr="00400566">
        <w:rPr>
          <w:rFonts w:ascii="Century Gothic" w:hAnsi="Century Gothic" w:cs="Calibri"/>
        </w:rPr>
        <w:t xml:space="preserve"> Advice Letter </w:t>
      </w:r>
      <w:r>
        <w:rPr>
          <w:rFonts w:ascii="Century Gothic" w:hAnsi="Century Gothic" w:cs="Calibri"/>
        </w:rPr>
        <w:t>6004</w:t>
      </w:r>
      <w:r w:rsidRPr="00400566">
        <w:rPr>
          <w:rFonts w:ascii="Century Gothic" w:hAnsi="Century Gothic" w:cs="Calibri"/>
        </w:rPr>
        <w:t>-E-</w:t>
      </w:r>
      <w:r>
        <w:rPr>
          <w:rFonts w:ascii="Century Gothic" w:hAnsi="Century Gothic" w:cs="Calibri"/>
        </w:rPr>
        <w:t>B</w:t>
      </w:r>
    </w:p>
    <w:p w:rsidR="00400566" w:rsidRDefault="00194A88" w:rsidP="00400566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Adjustments to regulatory accounts “</w:t>
      </w:r>
      <w:r w:rsidR="00400566">
        <w:rPr>
          <w:rFonts w:ascii="Century Gothic" w:hAnsi="Century Gothic" w:cs="Calibri"/>
        </w:rPr>
        <w:t>Balancing accounts</w:t>
      </w:r>
      <w:r>
        <w:rPr>
          <w:rFonts w:ascii="Century Gothic" w:hAnsi="Century Gothic" w:cs="Calibri"/>
        </w:rPr>
        <w:t>”</w:t>
      </w:r>
      <w:r w:rsidR="00400566">
        <w:rPr>
          <w:rFonts w:ascii="Century Gothic" w:hAnsi="Century Gothic" w:cs="Calibri"/>
        </w:rPr>
        <w:t xml:space="preserve"> </w:t>
      </w:r>
    </w:p>
    <w:p w:rsidR="00400566" w:rsidRDefault="00400566" w:rsidP="00400566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Wildfire Fund Charge (D.20-07-014)</w:t>
      </w:r>
      <w:r w:rsidR="00194A88">
        <w:rPr>
          <w:rFonts w:ascii="Century Gothic" w:hAnsi="Century Gothic" w:cs="Calibri"/>
        </w:rPr>
        <w:t xml:space="preserve"> as established by Legislation</w:t>
      </w:r>
    </w:p>
    <w:p w:rsidR="00400566" w:rsidRDefault="00400566" w:rsidP="00400566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Annual Energy Efficiency Budget</w:t>
      </w:r>
      <w:r w:rsidR="00E62C26">
        <w:rPr>
          <w:rFonts w:ascii="Century Gothic" w:hAnsi="Century Gothic" w:cs="Calibri"/>
        </w:rPr>
        <w:t xml:space="preserve"> (AL </w:t>
      </w:r>
      <w:r>
        <w:rPr>
          <w:rFonts w:ascii="Century Gothic" w:hAnsi="Century Gothic" w:cs="Calibri"/>
        </w:rPr>
        <w:t>4303-G/5936-E)</w:t>
      </w:r>
    </w:p>
    <w:p w:rsidR="00400566" w:rsidRPr="00E3467E" w:rsidRDefault="00E62C26" w:rsidP="00400566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>Efficiency Savings and Performance Incentive Mechanism (AL 4304-G)</w:t>
      </w:r>
    </w:p>
    <w:sectPr w:rsidR="00400566" w:rsidRPr="00E3467E" w:rsidSect="005179C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E1" w:rsidRDefault="007A3BE1">
      <w:r>
        <w:separator/>
      </w:r>
    </w:p>
    <w:p w:rsidR="007A3BE1" w:rsidRDefault="007A3BE1"/>
  </w:endnote>
  <w:endnote w:type="continuationSeparator" w:id="0">
    <w:p w:rsidR="007A3BE1" w:rsidRDefault="007A3BE1">
      <w:r>
        <w:continuationSeparator/>
      </w:r>
    </w:p>
    <w:p w:rsidR="007A3BE1" w:rsidRDefault="007A3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42FDB" w:rsidRDefault="007A3BE1" w:rsidP="00AA5D1C">
        <w:pPr>
          <w:pStyle w:val="Footer"/>
          <w:rPr>
            <w:rStyle w:val="PageNumber"/>
          </w:rPr>
        </w:pPr>
      </w:p>
    </w:sdtContent>
  </w:sdt>
  <w:p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E1" w:rsidRDefault="007A3BE1">
      <w:r>
        <w:separator/>
      </w:r>
    </w:p>
    <w:p w:rsidR="007A3BE1" w:rsidRDefault="007A3BE1"/>
  </w:footnote>
  <w:footnote w:type="continuationSeparator" w:id="0">
    <w:p w:rsidR="007A3BE1" w:rsidRDefault="007A3BE1">
      <w:r>
        <w:continuationSeparator/>
      </w:r>
    </w:p>
    <w:p w:rsidR="007A3BE1" w:rsidRDefault="007A3BE1"/>
  </w:footnote>
  <w:footnote w:id="1">
    <w:p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proofErr w:type="gramStart"/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 xml:space="preserve">” residential </w:t>
      </w:r>
      <w:r w:rsidR="00861CBE">
        <w:rPr>
          <w:rFonts w:ascii="Century Gothic" w:hAnsi="Century Gothic"/>
          <w:sz w:val="22"/>
          <w:szCs w:val="22"/>
        </w:rPr>
        <w:t xml:space="preserve">bundled </w:t>
      </w:r>
      <w:r w:rsidR="00354A4E" w:rsidRPr="00960036">
        <w:rPr>
          <w:rFonts w:ascii="Century Gothic" w:hAnsi="Century Gothic"/>
          <w:sz w:val="22"/>
          <w:szCs w:val="22"/>
        </w:rPr>
        <w:t xml:space="preserve">customer using, on average, </w:t>
      </w:r>
      <w:r w:rsidR="004E1EB7">
        <w:rPr>
          <w:rFonts w:ascii="Century Gothic" w:hAnsi="Century Gothic"/>
          <w:sz w:val="22"/>
          <w:szCs w:val="22"/>
        </w:rPr>
        <w:t>500</w:t>
      </w:r>
      <w:r w:rsidRPr="00960036">
        <w:rPr>
          <w:rFonts w:ascii="Century Gothic" w:hAnsi="Century Gothic"/>
          <w:sz w:val="22"/>
          <w:szCs w:val="22"/>
        </w:rPr>
        <w:t xml:space="preserve"> kilowatt-hours per month.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8156731" wp14:editId="582495BF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A26DF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January 2021</w:t>
          </w:r>
        </w:p>
      </w:tc>
      <w:tc>
        <w:tcPr>
          <w:tcW w:w="6151" w:type="dxa"/>
          <w:shd w:val="clear" w:color="auto" w:fill="002060"/>
          <w:vAlign w:val="center"/>
        </w:tcPr>
        <w:p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0E919D27" wp14:editId="03468FB4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FF2D"/>
      </v:shape>
    </w:pict>
  </w:numPicBullet>
  <w:abstractNum w:abstractNumId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735AE"/>
    <w:multiLevelType w:val="hybridMultilevel"/>
    <w:tmpl w:val="43629C6E"/>
    <w:lvl w:ilvl="0" w:tplc="A67EB8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5"/>
    <w:rsid w:val="00004E2F"/>
    <w:rsid w:val="000069E1"/>
    <w:rsid w:val="000115F0"/>
    <w:rsid w:val="00017089"/>
    <w:rsid w:val="00023054"/>
    <w:rsid w:val="00024CF2"/>
    <w:rsid w:val="00025EEC"/>
    <w:rsid w:val="00026904"/>
    <w:rsid w:val="00026B38"/>
    <w:rsid w:val="00027DF1"/>
    <w:rsid w:val="00031903"/>
    <w:rsid w:val="0003222D"/>
    <w:rsid w:val="000327F4"/>
    <w:rsid w:val="00034FD9"/>
    <w:rsid w:val="00041AA7"/>
    <w:rsid w:val="00045CDD"/>
    <w:rsid w:val="0006665E"/>
    <w:rsid w:val="0007148B"/>
    <w:rsid w:val="000808F7"/>
    <w:rsid w:val="00082BD3"/>
    <w:rsid w:val="000858CE"/>
    <w:rsid w:val="000A298C"/>
    <w:rsid w:val="000A37E9"/>
    <w:rsid w:val="000A58EF"/>
    <w:rsid w:val="000C2172"/>
    <w:rsid w:val="000C4126"/>
    <w:rsid w:val="000D0C25"/>
    <w:rsid w:val="000D17D3"/>
    <w:rsid w:val="000D6E0B"/>
    <w:rsid w:val="000E3D03"/>
    <w:rsid w:val="001227B5"/>
    <w:rsid w:val="00130972"/>
    <w:rsid w:val="0013200C"/>
    <w:rsid w:val="00152406"/>
    <w:rsid w:val="00154274"/>
    <w:rsid w:val="00165273"/>
    <w:rsid w:val="001742DA"/>
    <w:rsid w:val="00181170"/>
    <w:rsid w:val="001923C3"/>
    <w:rsid w:val="00194A88"/>
    <w:rsid w:val="00197C00"/>
    <w:rsid w:val="001B6393"/>
    <w:rsid w:val="001D291E"/>
    <w:rsid w:val="001D6674"/>
    <w:rsid w:val="001F7C6B"/>
    <w:rsid w:val="002005CC"/>
    <w:rsid w:val="002027EB"/>
    <w:rsid w:val="00210772"/>
    <w:rsid w:val="00211A70"/>
    <w:rsid w:val="00216078"/>
    <w:rsid w:val="002164F7"/>
    <w:rsid w:val="00220C86"/>
    <w:rsid w:val="0022257D"/>
    <w:rsid w:val="00225BA9"/>
    <w:rsid w:val="0022639A"/>
    <w:rsid w:val="00226EBB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A2068"/>
    <w:rsid w:val="002A2DE6"/>
    <w:rsid w:val="002A41E4"/>
    <w:rsid w:val="002A470B"/>
    <w:rsid w:val="002A770B"/>
    <w:rsid w:val="002B32F2"/>
    <w:rsid w:val="002C361D"/>
    <w:rsid w:val="002C4428"/>
    <w:rsid w:val="002D55E3"/>
    <w:rsid w:val="00313C67"/>
    <w:rsid w:val="003148B3"/>
    <w:rsid w:val="0032676E"/>
    <w:rsid w:val="0032777C"/>
    <w:rsid w:val="00331A8E"/>
    <w:rsid w:val="003373DE"/>
    <w:rsid w:val="0035260C"/>
    <w:rsid w:val="00353BE3"/>
    <w:rsid w:val="00354A4E"/>
    <w:rsid w:val="0036029F"/>
    <w:rsid w:val="00375A37"/>
    <w:rsid w:val="00383440"/>
    <w:rsid w:val="003A410B"/>
    <w:rsid w:val="003A5EDF"/>
    <w:rsid w:val="003B1368"/>
    <w:rsid w:val="003B60EF"/>
    <w:rsid w:val="003C6E4E"/>
    <w:rsid w:val="003D265D"/>
    <w:rsid w:val="003D72D0"/>
    <w:rsid w:val="003E1C2B"/>
    <w:rsid w:val="003E2336"/>
    <w:rsid w:val="003E2AB6"/>
    <w:rsid w:val="003E6280"/>
    <w:rsid w:val="003F497F"/>
    <w:rsid w:val="00400566"/>
    <w:rsid w:val="0040086D"/>
    <w:rsid w:val="004041BA"/>
    <w:rsid w:val="004066B7"/>
    <w:rsid w:val="004109D4"/>
    <w:rsid w:val="00420AE1"/>
    <w:rsid w:val="00420D07"/>
    <w:rsid w:val="00421E5E"/>
    <w:rsid w:val="004308B1"/>
    <w:rsid w:val="00433148"/>
    <w:rsid w:val="00433CE9"/>
    <w:rsid w:val="004430A4"/>
    <w:rsid w:val="004576EC"/>
    <w:rsid w:val="00461218"/>
    <w:rsid w:val="004642EC"/>
    <w:rsid w:val="00467C49"/>
    <w:rsid w:val="004706BE"/>
    <w:rsid w:val="00474F83"/>
    <w:rsid w:val="00487649"/>
    <w:rsid w:val="00487DDA"/>
    <w:rsid w:val="004941D2"/>
    <w:rsid w:val="00497EB9"/>
    <w:rsid w:val="004A2C07"/>
    <w:rsid w:val="004A69F1"/>
    <w:rsid w:val="004A7E44"/>
    <w:rsid w:val="004B0515"/>
    <w:rsid w:val="004C5737"/>
    <w:rsid w:val="004E0384"/>
    <w:rsid w:val="004E154E"/>
    <w:rsid w:val="004E1EB7"/>
    <w:rsid w:val="004F0FB0"/>
    <w:rsid w:val="004F467C"/>
    <w:rsid w:val="004F7B2B"/>
    <w:rsid w:val="00506C17"/>
    <w:rsid w:val="0051222C"/>
    <w:rsid w:val="00512B1B"/>
    <w:rsid w:val="00513835"/>
    <w:rsid w:val="005179CC"/>
    <w:rsid w:val="00530D7C"/>
    <w:rsid w:val="00531FB3"/>
    <w:rsid w:val="0053241B"/>
    <w:rsid w:val="00532841"/>
    <w:rsid w:val="00532EA7"/>
    <w:rsid w:val="005363FD"/>
    <w:rsid w:val="005372D9"/>
    <w:rsid w:val="0054359F"/>
    <w:rsid w:val="00546A7D"/>
    <w:rsid w:val="005517C6"/>
    <w:rsid w:val="00552B0C"/>
    <w:rsid w:val="00567FFB"/>
    <w:rsid w:val="00571C5D"/>
    <w:rsid w:val="00575FEF"/>
    <w:rsid w:val="00577971"/>
    <w:rsid w:val="00583A04"/>
    <w:rsid w:val="00590D03"/>
    <w:rsid w:val="00596E1D"/>
    <w:rsid w:val="005A10B8"/>
    <w:rsid w:val="005C4EC3"/>
    <w:rsid w:val="005D13A8"/>
    <w:rsid w:val="005D2EAB"/>
    <w:rsid w:val="005E4368"/>
    <w:rsid w:val="005F4F7C"/>
    <w:rsid w:val="006200CA"/>
    <w:rsid w:val="00640B0E"/>
    <w:rsid w:val="006431EF"/>
    <w:rsid w:val="00645B76"/>
    <w:rsid w:val="006465FE"/>
    <w:rsid w:val="006472E9"/>
    <w:rsid w:val="00661780"/>
    <w:rsid w:val="00664C8E"/>
    <w:rsid w:val="00670772"/>
    <w:rsid w:val="006720B2"/>
    <w:rsid w:val="00672C0F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D4605"/>
    <w:rsid w:val="006D5A7C"/>
    <w:rsid w:val="006D7FBD"/>
    <w:rsid w:val="006F186F"/>
    <w:rsid w:val="006F4F92"/>
    <w:rsid w:val="00704D6C"/>
    <w:rsid w:val="00714B95"/>
    <w:rsid w:val="00715E59"/>
    <w:rsid w:val="007213FF"/>
    <w:rsid w:val="007337FB"/>
    <w:rsid w:val="007350FA"/>
    <w:rsid w:val="0073542E"/>
    <w:rsid w:val="00736959"/>
    <w:rsid w:val="00740A58"/>
    <w:rsid w:val="00744580"/>
    <w:rsid w:val="00747A77"/>
    <w:rsid w:val="00750033"/>
    <w:rsid w:val="007501A3"/>
    <w:rsid w:val="00751015"/>
    <w:rsid w:val="0075685A"/>
    <w:rsid w:val="00764CCE"/>
    <w:rsid w:val="00770686"/>
    <w:rsid w:val="00774A18"/>
    <w:rsid w:val="00774E68"/>
    <w:rsid w:val="0077538E"/>
    <w:rsid w:val="007821A8"/>
    <w:rsid w:val="0078294C"/>
    <w:rsid w:val="00785260"/>
    <w:rsid w:val="007875CA"/>
    <w:rsid w:val="0079582D"/>
    <w:rsid w:val="007A3BE1"/>
    <w:rsid w:val="007A4959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C23"/>
    <w:rsid w:val="00821BC9"/>
    <w:rsid w:val="00826202"/>
    <w:rsid w:val="0085067B"/>
    <w:rsid w:val="00851B27"/>
    <w:rsid w:val="00851DBB"/>
    <w:rsid w:val="00860A36"/>
    <w:rsid w:val="008611D6"/>
    <w:rsid w:val="00861CBE"/>
    <w:rsid w:val="00863057"/>
    <w:rsid w:val="0087708C"/>
    <w:rsid w:val="0088523A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F9A"/>
    <w:rsid w:val="00906436"/>
    <w:rsid w:val="00906D2F"/>
    <w:rsid w:val="00907739"/>
    <w:rsid w:val="0091796E"/>
    <w:rsid w:val="00923392"/>
    <w:rsid w:val="00960036"/>
    <w:rsid w:val="00960614"/>
    <w:rsid w:val="00962953"/>
    <w:rsid w:val="009630B7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C08EA"/>
    <w:rsid w:val="009C1F06"/>
    <w:rsid w:val="009C3CFA"/>
    <w:rsid w:val="009C413D"/>
    <w:rsid w:val="009C489E"/>
    <w:rsid w:val="009C64BF"/>
    <w:rsid w:val="009F2F79"/>
    <w:rsid w:val="009F37FD"/>
    <w:rsid w:val="00A04EDD"/>
    <w:rsid w:val="00A100CA"/>
    <w:rsid w:val="00A12A44"/>
    <w:rsid w:val="00A14F8E"/>
    <w:rsid w:val="00A21707"/>
    <w:rsid w:val="00A24FB2"/>
    <w:rsid w:val="00A26DF2"/>
    <w:rsid w:val="00A31DB8"/>
    <w:rsid w:val="00A33DC8"/>
    <w:rsid w:val="00A42FDB"/>
    <w:rsid w:val="00A47930"/>
    <w:rsid w:val="00A54A53"/>
    <w:rsid w:val="00A565BE"/>
    <w:rsid w:val="00A56964"/>
    <w:rsid w:val="00A64E58"/>
    <w:rsid w:val="00A86289"/>
    <w:rsid w:val="00A9325D"/>
    <w:rsid w:val="00A9594E"/>
    <w:rsid w:val="00AA1472"/>
    <w:rsid w:val="00AA279D"/>
    <w:rsid w:val="00AA5D1C"/>
    <w:rsid w:val="00AC5C9F"/>
    <w:rsid w:val="00AC796F"/>
    <w:rsid w:val="00AD2B02"/>
    <w:rsid w:val="00AD5628"/>
    <w:rsid w:val="00AE3DC6"/>
    <w:rsid w:val="00AE4A56"/>
    <w:rsid w:val="00AE5D54"/>
    <w:rsid w:val="00AF08F7"/>
    <w:rsid w:val="00AF0AD6"/>
    <w:rsid w:val="00AF7013"/>
    <w:rsid w:val="00B12BBD"/>
    <w:rsid w:val="00B2335F"/>
    <w:rsid w:val="00B30AA1"/>
    <w:rsid w:val="00B344BF"/>
    <w:rsid w:val="00B43F4E"/>
    <w:rsid w:val="00B637B2"/>
    <w:rsid w:val="00B67CC1"/>
    <w:rsid w:val="00B72448"/>
    <w:rsid w:val="00B77B78"/>
    <w:rsid w:val="00B8063D"/>
    <w:rsid w:val="00B8732B"/>
    <w:rsid w:val="00B90CB9"/>
    <w:rsid w:val="00B9638F"/>
    <w:rsid w:val="00BA1AE6"/>
    <w:rsid w:val="00BB3903"/>
    <w:rsid w:val="00BC591F"/>
    <w:rsid w:val="00BC713D"/>
    <w:rsid w:val="00BD1059"/>
    <w:rsid w:val="00BD2851"/>
    <w:rsid w:val="00BE17F2"/>
    <w:rsid w:val="00BF53B3"/>
    <w:rsid w:val="00BF5B47"/>
    <w:rsid w:val="00C011FD"/>
    <w:rsid w:val="00C03449"/>
    <w:rsid w:val="00C21A02"/>
    <w:rsid w:val="00C3215A"/>
    <w:rsid w:val="00C459C9"/>
    <w:rsid w:val="00C47053"/>
    <w:rsid w:val="00C47A69"/>
    <w:rsid w:val="00C63C9B"/>
    <w:rsid w:val="00C67186"/>
    <w:rsid w:val="00C72AE1"/>
    <w:rsid w:val="00C83FB0"/>
    <w:rsid w:val="00C84C80"/>
    <w:rsid w:val="00C85647"/>
    <w:rsid w:val="00C856A2"/>
    <w:rsid w:val="00C87F18"/>
    <w:rsid w:val="00C93620"/>
    <w:rsid w:val="00C97847"/>
    <w:rsid w:val="00CA2061"/>
    <w:rsid w:val="00CA65A7"/>
    <w:rsid w:val="00CA7021"/>
    <w:rsid w:val="00CB4F96"/>
    <w:rsid w:val="00CC0499"/>
    <w:rsid w:val="00CC5559"/>
    <w:rsid w:val="00CD3764"/>
    <w:rsid w:val="00CE1624"/>
    <w:rsid w:val="00CE19C8"/>
    <w:rsid w:val="00CF044A"/>
    <w:rsid w:val="00CF22CD"/>
    <w:rsid w:val="00CF4BB6"/>
    <w:rsid w:val="00CF5FEC"/>
    <w:rsid w:val="00D00D38"/>
    <w:rsid w:val="00D01D0F"/>
    <w:rsid w:val="00D10B02"/>
    <w:rsid w:val="00D12D57"/>
    <w:rsid w:val="00D13742"/>
    <w:rsid w:val="00D25183"/>
    <w:rsid w:val="00D26DE7"/>
    <w:rsid w:val="00D31094"/>
    <w:rsid w:val="00D4000C"/>
    <w:rsid w:val="00D410D3"/>
    <w:rsid w:val="00D431B7"/>
    <w:rsid w:val="00D431EC"/>
    <w:rsid w:val="00D44ED3"/>
    <w:rsid w:val="00D53687"/>
    <w:rsid w:val="00D636DC"/>
    <w:rsid w:val="00D6482E"/>
    <w:rsid w:val="00D64A9A"/>
    <w:rsid w:val="00D654D1"/>
    <w:rsid w:val="00D72C83"/>
    <w:rsid w:val="00D80425"/>
    <w:rsid w:val="00D83727"/>
    <w:rsid w:val="00D85AE4"/>
    <w:rsid w:val="00D93845"/>
    <w:rsid w:val="00D96F26"/>
    <w:rsid w:val="00DA1AA5"/>
    <w:rsid w:val="00DA2F3D"/>
    <w:rsid w:val="00DB21E0"/>
    <w:rsid w:val="00DB48E8"/>
    <w:rsid w:val="00DB7796"/>
    <w:rsid w:val="00DC1012"/>
    <w:rsid w:val="00DC2132"/>
    <w:rsid w:val="00DC7C3E"/>
    <w:rsid w:val="00DD0AA0"/>
    <w:rsid w:val="00DD23FA"/>
    <w:rsid w:val="00DD577D"/>
    <w:rsid w:val="00DE00A6"/>
    <w:rsid w:val="00DF5631"/>
    <w:rsid w:val="00E07248"/>
    <w:rsid w:val="00E15290"/>
    <w:rsid w:val="00E17ECA"/>
    <w:rsid w:val="00E27F02"/>
    <w:rsid w:val="00E30A95"/>
    <w:rsid w:val="00E3304B"/>
    <w:rsid w:val="00E33B56"/>
    <w:rsid w:val="00E3467E"/>
    <w:rsid w:val="00E46AC1"/>
    <w:rsid w:val="00E57E1A"/>
    <w:rsid w:val="00E62C26"/>
    <w:rsid w:val="00E62EB2"/>
    <w:rsid w:val="00E64305"/>
    <w:rsid w:val="00E74DCD"/>
    <w:rsid w:val="00E767CC"/>
    <w:rsid w:val="00E81868"/>
    <w:rsid w:val="00E97440"/>
    <w:rsid w:val="00E97705"/>
    <w:rsid w:val="00E97749"/>
    <w:rsid w:val="00EA38F3"/>
    <w:rsid w:val="00EB545D"/>
    <w:rsid w:val="00EB68DB"/>
    <w:rsid w:val="00EB6CA7"/>
    <w:rsid w:val="00EC1BE5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5E84"/>
    <w:rsid w:val="00F67D94"/>
    <w:rsid w:val="00F75E58"/>
    <w:rsid w:val="00F7758E"/>
    <w:rsid w:val="00F85BA0"/>
    <w:rsid w:val="00F8668D"/>
    <w:rsid w:val="00F97A4E"/>
    <w:rsid w:val="00FA5ED0"/>
    <w:rsid w:val="00FA7045"/>
    <w:rsid w:val="00FB198C"/>
    <w:rsid w:val="00FB1BB6"/>
    <w:rsid w:val="00FB2714"/>
    <w:rsid w:val="00FD3A7D"/>
    <w:rsid w:val="00FD4D9F"/>
    <w:rsid w:val="00FE18AB"/>
    <w:rsid w:val="00FE1F46"/>
    <w:rsid w:val="00FE2136"/>
    <w:rsid w:val="00FE3ACD"/>
    <w:rsid w:val="6FB9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67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1E18"/>
    <w:rsid w:val="00543A25"/>
    <w:rsid w:val="00F4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45D1A0-D721-4D2D-9DF4-17F5C8B8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2020-12-30T21:12:00Z</dcterms:created>
  <dcterms:modified xsi:type="dcterms:W3CDTF">2020-12-30T21:12:00Z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